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D22F51">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510C0F"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D9060D" w:rsidRDefault="00AE4627" w:rsidP="00510C0F">
      <w:pPr>
        <w:pStyle w:val="Kopfzeile"/>
        <w:ind w:left="2268" w:hanging="2268"/>
        <w:outlineLvl w:val="0"/>
        <w:rPr>
          <w:sz w:val="28"/>
        </w:rPr>
      </w:pPr>
      <w:r w:rsidRPr="00D9060D">
        <w:rPr>
          <w:rFonts w:cs="Arial"/>
          <w:sz w:val="24"/>
        </w:rPr>
        <w:t>Panel A: Freitag, 17. Oktober 2014</w:t>
      </w:r>
    </w:p>
    <w:p w:rsidR="00CB70D7" w:rsidRPr="00D9060D" w:rsidRDefault="00CB70D7" w:rsidP="00510C0F">
      <w:pPr>
        <w:pStyle w:val="Kopfzeile"/>
        <w:ind w:left="2268" w:hanging="2268"/>
      </w:pPr>
    </w:p>
    <w:p w:rsidR="00CB70D7" w:rsidRPr="00AE4627" w:rsidRDefault="002465FB" w:rsidP="00510C0F">
      <w:pPr>
        <w:widowControl w:val="0"/>
        <w:tabs>
          <w:tab w:val="left" w:pos="2268"/>
        </w:tabs>
        <w:autoSpaceDE w:val="0"/>
        <w:autoSpaceDN w:val="0"/>
        <w:adjustRightInd w:val="0"/>
        <w:ind w:left="2268" w:right="-432" w:hanging="2268"/>
        <w:rPr>
          <w:rFonts w:cs="Arial"/>
          <w:b/>
          <w:sz w:val="28"/>
        </w:rPr>
      </w:pPr>
      <w:r>
        <w:rPr>
          <w:rFonts w:cs="Arial"/>
          <w:b/>
          <w:sz w:val="28"/>
        </w:rPr>
        <w:t>Workshop A-9</w:t>
      </w:r>
      <w:r w:rsidR="004E537B" w:rsidRPr="00AE4627">
        <w:rPr>
          <w:rFonts w:cs="Arial"/>
          <w:b/>
          <w:sz w:val="28"/>
        </w:rPr>
        <w:tab/>
      </w:r>
      <w:r w:rsidR="00E96EC7">
        <w:rPr>
          <w:rFonts w:cs="Arial"/>
          <w:b/>
          <w:sz w:val="28"/>
        </w:rPr>
        <w:t>Sozialberufliche Reintegration</w:t>
      </w:r>
    </w:p>
    <w:p w:rsidR="00CB70D7" w:rsidRDefault="00CB70D7" w:rsidP="00510C0F">
      <w:pPr>
        <w:tabs>
          <w:tab w:val="left" w:pos="1985"/>
        </w:tabs>
        <w:ind w:left="2268" w:hanging="2268"/>
        <w:rPr>
          <w:sz w:val="24"/>
        </w:rPr>
      </w:pPr>
    </w:p>
    <w:p w:rsidR="00AE4627" w:rsidRDefault="00AE4627" w:rsidP="00D22F51">
      <w:pPr>
        <w:ind w:left="2268" w:hanging="2268"/>
        <w:rPr>
          <w:sz w:val="24"/>
        </w:rPr>
      </w:pPr>
      <w:r>
        <w:rPr>
          <w:sz w:val="24"/>
        </w:rPr>
        <w:t>Moderation:</w:t>
      </w:r>
      <w:r w:rsidR="00D22F51">
        <w:rPr>
          <w:sz w:val="24"/>
        </w:rPr>
        <w:tab/>
        <w:t>Klaus</w:t>
      </w:r>
      <w:bookmarkStart w:id="0" w:name="_GoBack"/>
      <w:bookmarkEnd w:id="0"/>
      <w:r w:rsidR="00D22F51">
        <w:rPr>
          <w:sz w:val="24"/>
        </w:rPr>
        <w:t xml:space="preserve"> Fetscher</w:t>
      </w:r>
    </w:p>
    <w:p w:rsidR="00AE4627" w:rsidRPr="004E537B" w:rsidRDefault="00AE4627" w:rsidP="00510C0F">
      <w:pPr>
        <w:tabs>
          <w:tab w:val="left" w:pos="1985"/>
        </w:tabs>
        <w:ind w:left="2268" w:hanging="2268"/>
        <w:rPr>
          <w:sz w:val="24"/>
        </w:rPr>
      </w:pPr>
    </w:p>
    <w:p w:rsidR="004E537B" w:rsidRPr="004E537B" w:rsidRDefault="004E537B" w:rsidP="00510C0F">
      <w:pPr>
        <w:tabs>
          <w:tab w:val="left" w:pos="2268"/>
        </w:tabs>
        <w:ind w:left="2268" w:hanging="2268"/>
        <w:outlineLvl w:val="0"/>
        <w:rPr>
          <w:rFonts w:cs="Arial"/>
          <w:b/>
          <w:bCs/>
          <w:sz w:val="24"/>
        </w:rPr>
      </w:pPr>
      <w:r w:rsidRPr="004E537B">
        <w:rPr>
          <w:b/>
          <w:sz w:val="24"/>
        </w:rPr>
        <w:t>Vortrag:</w:t>
      </w:r>
      <w:r w:rsidRPr="004E537B">
        <w:rPr>
          <w:sz w:val="24"/>
        </w:rPr>
        <w:t xml:space="preserve"> </w:t>
      </w:r>
      <w:r w:rsidRPr="004E537B">
        <w:rPr>
          <w:sz w:val="24"/>
        </w:rPr>
        <w:tab/>
      </w:r>
      <w:r w:rsidR="00E96EC7">
        <w:rPr>
          <w:rFonts w:cs="Arial"/>
          <w:b/>
          <w:sz w:val="24"/>
        </w:rPr>
        <w:t>Diagnose-Instrumente zur</w:t>
      </w:r>
      <w:r w:rsidR="00D9060D">
        <w:rPr>
          <w:rFonts w:cs="Arial"/>
          <w:b/>
          <w:sz w:val="24"/>
        </w:rPr>
        <w:t xml:space="preserve"> sozialberuflichen Integration:</w:t>
      </w:r>
      <w:r w:rsidR="00D9060D">
        <w:rPr>
          <w:rFonts w:cs="Arial"/>
          <w:b/>
          <w:sz w:val="24"/>
        </w:rPr>
        <w:br/>
      </w:r>
      <w:r w:rsidR="00E96EC7">
        <w:rPr>
          <w:rFonts w:cs="Arial"/>
          <w:b/>
          <w:sz w:val="24"/>
        </w:rPr>
        <w:t>u.a. AVEM, DIAMO, SPE-Skala</w:t>
      </w:r>
    </w:p>
    <w:p w:rsidR="00CB70D7" w:rsidRDefault="00CB70D7" w:rsidP="00510C0F">
      <w:pPr>
        <w:widowControl w:val="0"/>
        <w:autoSpaceDE w:val="0"/>
        <w:autoSpaceDN w:val="0"/>
        <w:adjustRightInd w:val="0"/>
        <w:spacing w:line="276" w:lineRule="auto"/>
        <w:ind w:left="2268" w:right="72" w:hanging="2268"/>
        <w:rPr>
          <w:rFonts w:ascii="Times New Roman" w:hAnsi="Times New Roman"/>
        </w:rPr>
      </w:pPr>
    </w:p>
    <w:p w:rsidR="00510C0F" w:rsidRPr="00E96EC7" w:rsidRDefault="00510C0F" w:rsidP="00510C0F">
      <w:pPr>
        <w:widowControl w:val="0"/>
        <w:autoSpaceDE w:val="0"/>
        <w:autoSpaceDN w:val="0"/>
        <w:adjustRightInd w:val="0"/>
        <w:spacing w:line="276" w:lineRule="auto"/>
        <w:ind w:left="2268" w:right="72" w:hanging="2268"/>
        <w:rPr>
          <w:rFonts w:ascii="Times New Roman" w:hAnsi="Times New Roman"/>
        </w:rPr>
      </w:pPr>
    </w:p>
    <w:p w:rsidR="00E96EC7" w:rsidRPr="00E96EC7" w:rsidRDefault="00E96EC7" w:rsidP="00510C0F">
      <w:pPr>
        <w:widowControl w:val="0"/>
        <w:autoSpaceDE w:val="0"/>
        <w:autoSpaceDN w:val="0"/>
        <w:adjustRightInd w:val="0"/>
        <w:spacing w:line="276" w:lineRule="auto"/>
        <w:ind w:right="72"/>
      </w:pPr>
      <w:r w:rsidRPr="00E96EC7">
        <w:t xml:space="preserve">Das sozialmedizinische Konstrukt der beruflichen Eingliederungs- und Leistungsfähigkeit beinhaltet eine somatische, psychologische und soziale Dimension, wobei jede im Bereich </w:t>
      </w:r>
    </w:p>
    <w:p w:rsidR="00E96EC7" w:rsidRPr="00E96EC7" w:rsidRDefault="00E96EC7" w:rsidP="00E96EC7">
      <w:pPr>
        <w:widowControl w:val="0"/>
        <w:autoSpaceDE w:val="0"/>
        <w:autoSpaceDN w:val="0"/>
        <w:adjustRightInd w:val="0"/>
        <w:spacing w:line="276" w:lineRule="auto"/>
        <w:ind w:right="72"/>
      </w:pPr>
      <w:r w:rsidRPr="00E96EC7">
        <w:t>der Wiedereingliederung gleichzeitig als Ergebnis der Lebens- und Berufsbiografie sowie als Au</w:t>
      </w:r>
      <w:r w:rsidRPr="00E96EC7">
        <w:t>s</w:t>
      </w:r>
      <w:r w:rsidRPr="00E96EC7">
        <w:t>gangspunkt integrativer Massnahmen zu sehen ist.</w:t>
      </w:r>
    </w:p>
    <w:p w:rsidR="00E96EC7" w:rsidRPr="00E96EC7" w:rsidRDefault="00E96EC7" w:rsidP="00E96EC7">
      <w:pPr>
        <w:widowControl w:val="0"/>
        <w:autoSpaceDE w:val="0"/>
        <w:autoSpaceDN w:val="0"/>
        <w:adjustRightInd w:val="0"/>
        <w:spacing w:line="276" w:lineRule="auto"/>
        <w:ind w:right="72"/>
      </w:pPr>
      <w:r w:rsidRPr="00E96EC7">
        <w:t>Untersuchungen zeigen, dass der Erfolg oder Misserfolg einer beruflichen Reintegration weniger von medizinischen Befunden, sondern wesentlich von sozialen Faktoren abhängt, die ihrerseits die Grundlage der subjektiven Arbeitsprognose bilden (Schott, 2004, Maurischat &amp; Mittag, 2005). In e</w:t>
      </w:r>
      <w:r w:rsidRPr="00E96EC7">
        <w:t>i</w:t>
      </w:r>
      <w:r w:rsidRPr="00E96EC7">
        <w:t>ner internationalen Studie zur Arbeitsunfähigkeit und Wiedereingliederung stellte sich die subjektive Arbeitsprognose als relevanter und für die Varianzaufklärung wichtigster Prädiktor dar (Bloch und Priens, 2001). Klinische Erfahrungen bestätigen diesen Zusammenhang, da ein vergleichbarer G</w:t>
      </w:r>
      <w:r w:rsidRPr="00E96EC7">
        <w:t>e</w:t>
      </w:r>
      <w:r w:rsidRPr="00E96EC7">
        <w:t>sundheitsschaden bei verschiedenen Personen zu völlig unterschiedlichen Auswirkungen bei der Funktionsfähigkeit führen kann. Im Bereich der sozialberuflichen Eingliederung werden dementspr</w:t>
      </w:r>
      <w:r w:rsidRPr="00E96EC7">
        <w:t>e</w:t>
      </w:r>
      <w:r w:rsidRPr="00E96EC7">
        <w:t>chend Diagnostikinstrumente benötigt, die die Hypothesenbildung zwischen Arbeitsplatzprofilen, dem arbeitsbezogenen Verhalten und Erleben, motivationalen Aspekten und sozialen Faktoren unte</w:t>
      </w:r>
      <w:r w:rsidRPr="00E96EC7">
        <w:t>r</w:t>
      </w:r>
      <w:r w:rsidRPr="00E96EC7">
        <w:t xml:space="preserve">stützt. </w:t>
      </w:r>
    </w:p>
    <w:p w:rsidR="00E96EC7" w:rsidRPr="00E96EC7" w:rsidRDefault="00E96EC7" w:rsidP="00E96EC7">
      <w:pPr>
        <w:widowControl w:val="0"/>
        <w:autoSpaceDE w:val="0"/>
        <w:autoSpaceDN w:val="0"/>
        <w:adjustRightInd w:val="0"/>
        <w:spacing w:line="276" w:lineRule="auto"/>
        <w:ind w:right="72"/>
      </w:pPr>
      <w:r w:rsidRPr="00E96EC7">
        <w:t>Die soziale Diagnose beinhaltet eine professionelle Einschätzung der Sozialarbeitenden zur sozialen Gesundheit. Dem Anspruch der Wissenschaftlichkeit einer Sozialdiagnose kann nur teilweise en</w:t>
      </w:r>
      <w:r w:rsidRPr="00E96EC7">
        <w:t>t</w:t>
      </w:r>
      <w:r w:rsidRPr="00E96EC7">
        <w:t>sprochen werden. Daten und Fakten können analysiert, soziale Faktoren und deren mögliche Wir</w:t>
      </w:r>
      <w:r w:rsidRPr="00E96EC7">
        <w:t>k</w:t>
      </w:r>
      <w:r w:rsidRPr="00E96EC7">
        <w:t>weisen systematisch erhoben, einbezogen und bewertet werden. Jedoch sind Wissen und Erfahrung von Sozialarbeitenden subjektiv und unterschiedlich. Dem Fakt der bewussten Subjektivität gilt es bei der Sozialdiagnose deshalb ebenso Rechnung zu tragen, wie der Unberechenbarkeit vieler Krankheitsbilder oder der Resilienz von Menschen.</w:t>
      </w:r>
    </w:p>
    <w:p w:rsidR="00E96EC7" w:rsidRPr="00E96EC7" w:rsidRDefault="00E96EC7" w:rsidP="00E96EC7">
      <w:pPr>
        <w:widowControl w:val="0"/>
        <w:autoSpaceDE w:val="0"/>
        <w:autoSpaceDN w:val="0"/>
        <w:adjustRightInd w:val="0"/>
        <w:spacing w:line="276" w:lineRule="auto"/>
        <w:ind w:right="72"/>
      </w:pPr>
    </w:p>
    <w:p w:rsidR="00E96EC7" w:rsidRPr="00E96EC7" w:rsidRDefault="00E96EC7" w:rsidP="00E96EC7">
      <w:pPr>
        <w:widowControl w:val="0"/>
        <w:autoSpaceDE w:val="0"/>
        <w:autoSpaceDN w:val="0"/>
        <w:adjustRightInd w:val="0"/>
        <w:spacing w:line="360" w:lineRule="auto"/>
        <w:ind w:right="72"/>
        <w:outlineLvl w:val="0"/>
        <w:rPr>
          <w:b/>
          <w:sz w:val="24"/>
        </w:rPr>
      </w:pPr>
      <w:r w:rsidRPr="00E96EC7">
        <w:rPr>
          <w:b/>
          <w:sz w:val="24"/>
        </w:rPr>
        <w:t>Ziele des Workshops</w:t>
      </w:r>
    </w:p>
    <w:p w:rsidR="00E96EC7" w:rsidRPr="00E96EC7" w:rsidRDefault="00E96EC7" w:rsidP="00E96EC7">
      <w:pPr>
        <w:widowControl w:val="0"/>
        <w:autoSpaceDE w:val="0"/>
        <w:autoSpaceDN w:val="0"/>
        <w:adjustRightInd w:val="0"/>
        <w:spacing w:line="276" w:lineRule="auto"/>
        <w:ind w:right="72"/>
      </w:pPr>
      <w:r w:rsidRPr="00E96EC7">
        <w:t>Die Teilnehmenden lernen vier verschiedene in der sozialberuflichen Rehabilitationspraxis erprobte Diagnostikinstrumente kennen:</w:t>
      </w:r>
    </w:p>
    <w:p w:rsidR="00E96EC7" w:rsidRPr="00E96EC7" w:rsidRDefault="00E96EC7" w:rsidP="00E96EC7">
      <w:pPr>
        <w:pStyle w:val="Listenabsatz"/>
        <w:widowControl w:val="0"/>
        <w:numPr>
          <w:ilvl w:val="0"/>
          <w:numId w:val="29"/>
        </w:numPr>
        <w:autoSpaceDE w:val="0"/>
        <w:autoSpaceDN w:val="0"/>
        <w:adjustRightInd w:val="0"/>
        <w:spacing w:line="276" w:lineRule="auto"/>
        <w:ind w:right="72"/>
      </w:pPr>
      <w:r w:rsidRPr="00E96EC7">
        <w:t>Arbeitsbezogenes Verhaltens- und Erlebensmuster (AVEM)</w:t>
      </w:r>
    </w:p>
    <w:p w:rsidR="00E96EC7" w:rsidRPr="00E96EC7" w:rsidRDefault="00E96EC7" w:rsidP="00E96EC7">
      <w:pPr>
        <w:pStyle w:val="Listenabsatz"/>
        <w:widowControl w:val="0"/>
        <w:numPr>
          <w:ilvl w:val="0"/>
          <w:numId w:val="29"/>
        </w:numPr>
        <w:autoSpaceDE w:val="0"/>
        <w:autoSpaceDN w:val="0"/>
        <w:adjustRightInd w:val="0"/>
        <w:spacing w:line="276" w:lineRule="auto"/>
        <w:ind w:right="72"/>
      </w:pPr>
      <w:r w:rsidRPr="00E96EC7">
        <w:t>Diagnostikinstrument für Arbeitsmotivation (DIAMO)</w:t>
      </w:r>
    </w:p>
    <w:p w:rsidR="00E96EC7" w:rsidRPr="00E96EC7" w:rsidRDefault="00E96EC7" w:rsidP="00E96EC7">
      <w:pPr>
        <w:pStyle w:val="Listenabsatz"/>
        <w:widowControl w:val="0"/>
        <w:numPr>
          <w:ilvl w:val="0"/>
          <w:numId w:val="29"/>
        </w:numPr>
        <w:autoSpaceDE w:val="0"/>
        <w:autoSpaceDN w:val="0"/>
        <w:adjustRightInd w:val="0"/>
        <w:spacing w:line="276" w:lineRule="auto"/>
        <w:ind w:right="72"/>
      </w:pPr>
      <w:r w:rsidRPr="00E96EC7">
        <w:t>Subjektive Prognose der Erwerbsfähigkeit (SPE-Skala)</w:t>
      </w:r>
    </w:p>
    <w:p w:rsidR="00E96EC7" w:rsidRPr="00E96EC7" w:rsidRDefault="00E96EC7" w:rsidP="00E96EC7">
      <w:pPr>
        <w:pStyle w:val="Listenabsatz"/>
        <w:widowControl w:val="0"/>
        <w:numPr>
          <w:ilvl w:val="0"/>
          <w:numId w:val="29"/>
        </w:numPr>
        <w:autoSpaceDE w:val="0"/>
        <w:autoSpaceDN w:val="0"/>
        <w:adjustRightInd w:val="0"/>
        <w:spacing w:line="276" w:lineRule="auto"/>
        <w:ind w:right="72"/>
      </w:pPr>
      <w:r w:rsidRPr="00E96EC7">
        <w:t xml:space="preserve">Integrierte Sozialdiagnose im interprofessionellen Patientendossier </w:t>
      </w:r>
    </w:p>
    <w:p w:rsidR="00E96EC7" w:rsidRDefault="00E96EC7" w:rsidP="00E96EC7">
      <w:pPr>
        <w:widowControl w:val="0"/>
        <w:autoSpaceDE w:val="0"/>
        <w:autoSpaceDN w:val="0"/>
        <w:adjustRightInd w:val="0"/>
        <w:spacing w:line="276" w:lineRule="auto"/>
        <w:ind w:right="72"/>
      </w:pPr>
    </w:p>
    <w:p w:rsidR="00E96EC7" w:rsidRPr="00E96EC7" w:rsidRDefault="00E96EC7" w:rsidP="00E96EC7">
      <w:pPr>
        <w:widowControl w:val="0"/>
        <w:autoSpaceDE w:val="0"/>
        <w:autoSpaceDN w:val="0"/>
        <w:adjustRightInd w:val="0"/>
        <w:spacing w:line="276" w:lineRule="auto"/>
        <w:ind w:right="72"/>
      </w:pPr>
    </w:p>
    <w:p w:rsidR="00E96EC7" w:rsidRPr="00E96EC7" w:rsidRDefault="00E96EC7" w:rsidP="00E96EC7">
      <w:pPr>
        <w:widowControl w:val="0"/>
        <w:autoSpaceDE w:val="0"/>
        <w:autoSpaceDN w:val="0"/>
        <w:adjustRightInd w:val="0"/>
        <w:spacing w:line="360" w:lineRule="auto"/>
        <w:ind w:right="72"/>
        <w:outlineLvl w:val="0"/>
        <w:rPr>
          <w:b/>
          <w:sz w:val="24"/>
        </w:rPr>
      </w:pPr>
      <w:r w:rsidRPr="00E96EC7">
        <w:rPr>
          <w:b/>
          <w:sz w:val="24"/>
        </w:rPr>
        <w:t>Inhalte des Workshops</w:t>
      </w:r>
    </w:p>
    <w:p w:rsidR="00E96EC7" w:rsidRPr="00E96EC7" w:rsidRDefault="00E96EC7" w:rsidP="00E96EC7">
      <w:pPr>
        <w:pStyle w:val="Listenabsatz"/>
        <w:widowControl w:val="0"/>
        <w:numPr>
          <w:ilvl w:val="0"/>
          <w:numId w:val="30"/>
        </w:numPr>
        <w:autoSpaceDE w:val="0"/>
        <w:autoSpaceDN w:val="0"/>
        <w:adjustRightInd w:val="0"/>
        <w:spacing w:line="276" w:lineRule="auto"/>
        <w:ind w:right="72"/>
      </w:pPr>
      <w:r w:rsidRPr="00E96EC7">
        <w:t>Welche Aufgaben kann die Sozialarbeit in der sozialberuflichen Rehabilitation von chronisch erkrankten Personen übernehmen und welche institutionellen Voraussetzungen werden b</w:t>
      </w:r>
      <w:r w:rsidRPr="00E96EC7">
        <w:t>e</w:t>
      </w:r>
      <w:r w:rsidRPr="00E96EC7">
        <w:t xml:space="preserve">nötigt? </w:t>
      </w:r>
    </w:p>
    <w:p w:rsidR="00E96EC7" w:rsidRPr="00E96EC7" w:rsidRDefault="00E96EC7" w:rsidP="00E96EC7">
      <w:pPr>
        <w:pStyle w:val="Listenabsatz"/>
        <w:widowControl w:val="0"/>
        <w:numPr>
          <w:ilvl w:val="0"/>
          <w:numId w:val="30"/>
        </w:numPr>
        <w:autoSpaceDE w:val="0"/>
        <w:autoSpaceDN w:val="0"/>
        <w:adjustRightInd w:val="0"/>
        <w:spacing w:line="276" w:lineRule="auto"/>
        <w:ind w:right="72"/>
      </w:pPr>
      <w:r w:rsidRPr="00E96EC7">
        <w:t>Wie kann das diagnostische Vorgehen im Beratungssetting gestaltet werden?</w:t>
      </w:r>
    </w:p>
    <w:p w:rsidR="00E96EC7" w:rsidRPr="00E96EC7" w:rsidRDefault="00E96EC7" w:rsidP="00E96EC7">
      <w:pPr>
        <w:pStyle w:val="Listenabsatz"/>
        <w:widowControl w:val="0"/>
        <w:numPr>
          <w:ilvl w:val="0"/>
          <w:numId w:val="30"/>
        </w:numPr>
        <w:autoSpaceDE w:val="0"/>
        <w:autoSpaceDN w:val="0"/>
        <w:adjustRightInd w:val="0"/>
        <w:spacing w:line="276" w:lineRule="auto"/>
        <w:ind w:right="72"/>
      </w:pPr>
      <w:r w:rsidRPr="00E96EC7">
        <w:t>Diskussion zur Frage, in welchen Beratungssituationen die Tools als Unterstützung in der zielgerichteten Kommunikation eingesetzt werden können und unter welchen Voraussetzu</w:t>
      </w:r>
      <w:r w:rsidRPr="00E96EC7">
        <w:t>n</w:t>
      </w:r>
      <w:r w:rsidRPr="00E96EC7">
        <w:t xml:space="preserve">gen sie Nutzen bringt. </w:t>
      </w:r>
    </w:p>
    <w:p w:rsidR="00E96EC7" w:rsidRDefault="00E96EC7" w:rsidP="00E96EC7">
      <w:pPr>
        <w:widowControl w:val="0"/>
        <w:autoSpaceDE w:val="0"/>
        <w:autoSpaceDN w:val="0"/>
        <w:adjustRightInd w:val="0"/>
        <w:spacing w:line="276" w:lineRule="auto"/>
        <w:ind w:right="72"/>
      </w:pPr>
    </w:p>
    <w:p w:rsidR="00E96EC7" w:rsidRPr="00E96EC7" w:rsidRDefault="00E96EC7" w:rsidP="00E96EC7">
      <w:pPr>
        <w:widowControl w:val="0"/>
        <w:autoSpaceDE w:val="0"/>
        <w:autoSpaceDN w:val="0"/>
        <w:adjustRightInd w:val="0"/>
        <w:spacing w:line="276" w:lineRule="auto"/>
        <w:ind w:right="72"/>
      </w:pPr>
      <w:r w:rsidRPr="00E96EC7">
        <w:t>Literatur:</w:t>
      </w:r>
    </w:p>
    <w:p w:rsidR="00E96EC7" w:rsidRPr="00D9060D" w:rsidRDefault="00E96EC7" w:rsidP="005E1FE9">
      <w:pPr>
        <w:pStyle w:val="Listenabsatz"/>
        <w:widowControl w:val="0"/>
        <w:numPr>
          <w:ilvl w:val="0"/>
          <w:numId w:val="31"/>
        </w:numPr>
        <w:autoSpaceDE w:val="0"/>
        <w:autoSpaceDN w:val="0"/>
        <w:adjustRightInd w:val="0"/>
        <w:spacing w:line="276" w:lineRule="auto"/>
        <w:ind w:left="426" w:right="72" w:hanging="426"/>
        <w:rPr>
          <w:lang w:val="en-US"/>
        </w:rPr>
      </w:pPr>
      <w:r w:rsidRPr="005E1FE9">
        <w:t xml:space="preserve">Bloch, F.S. &amp; Priens, R. (Hrsg.) </w:t>
      </w:r>
      <w:r w:rsidRPr="00D9060D">
        <w:rPr>
          <w:lang w:val="en-US"/>
        </w:rPr>
        <w:t>(2001). Who returns to work and why? A Six-Country Study on Work Incapacity and Reintegration. London: Transaction Publishers.</w:t>
      </w:r>
    </w:p>
    <w:p w:rsidR="00E96EC7" w:rsidRPr="005E1FE9" w:rsidRDefault="00E96EC7" w:rsidP="005E1FE9">
      <w:pPr>
        <w:pStyle w:val="Listenabsatz"/>
        <w:widowControl w:val="0"/>
        <w:numPr>
          <w:ilvl w:val="0"/>
          <w:numId w:val="31"/>
        </w:numPr>
        <w:autoSpaceDE w:val="0"/>
        <w:autoSpaceDN w:val="0"/>
        <w:adjustRightInd w:val="0"/>
        <w:spacing w:line="276" w:lineRule="auto"/>
        <w:ind w:left="426" w:right="72" w:hanging="426"/>
      </w:pPr>
      <w:r w:rsidRPr="005E1FE9">
        <w:t>Maurischat, C. &amp; Mittag, O. (2005). Erfassung der beruflichen Rollenqualität und ihre prognost</w:t>
      </w:r>
      <w:r w:rsidRPr="005E1FE9">
        <w:t>i</w:t>
      </w:r>
      <w:r w:rsidRPr="005E1FE9">
        <w:t>sche Bedeutung für die Wiederaufnahme der Berufstätigkeit. Rehabilitation 43, 1-9.</w:t>
      </w:r>
    </w:p>
    <w:p w:rsidR="00E96EC7" w:rsidRPr="005E1FE9" w:rsidRDefault="00E96EC7" w:rsidP="005E1FE9">
      <w:pPr>
        <w:pStyle w:val="Listenabsatz"/>
        <w:widowControl w:val="0"/>
        <w:numPr>
          <w:ilvl w:val="0"/>
          <w:numId w:val="31"/>
        </w:numPr>
        <w:autoSpaceDE w:val="0"/>
        <w:autoSpaceDN w:val="0"/>
        <w:adjustRightInd w:val="0"/>
        <w:spacing w:line="276" w:lineRule="auto"/>
        <w:ind w:left="426" w:right="72" w:hanging="426"/>
      </w:pPr>
      <w:r w:rsidRPr="005E1FE9">
        <w:t>Schott, T. (2004). Determinanten der Ausgliederung und Ansatzpunkte einer zielorientierten</w:t>
      </w:r>
    </w:p>
    <w:p w:rsidR="00A13505" w:rsidRPr="005E1FE9" w:rsidRDefault="00E96EC7" w:rsidP="005E1FE9">
      <w:pPr>
        <w:pStyle w:val="Listenabsatz"/>
        <w:widowControl w:val="0"/>
        <w:numPr>
          <w:ilvl w:val="0"/>
          <w:numId w:val="31"/>
        </w:numPr>
        <w:autoSpaceDE w:val="0"/>
        <w:autoSpaceDN w:val="0"/>
        <w:adjustRightInd w:val="0"/>
        <w:spacing w:line="276" w:lineRule="auto"/>
        <w:ind w:left="426" w:right="72" w:hanging="426"/>
        <w:rPr>
          <w:b/>
        </w:rPr>
      </w:pPr>
      <w:r w:rsidRPr="005E1FE9">
        <w:t>Beratung zur Rückkehr zur Arbeit nach einer schweren Herzerkrankung. In Schott, T. (Hrsg.) Eingliedern statt ausmustern – Möglichkeiten und Strategien zur Sicherung der Erwerbstätigkeit älterer Arbeitnehmer. Weinheim: Juventa</w:t>
      </w:r>
      <w:r w:rsidRPr="005E1FE9">
        <w:rPr>
          <w:b/>
        </w:rPr>
        <w:t>.</w:t>
      </w:r>
    </w:p>
    <w:p w:rsidR="00E96EC7" w:rsidRDefault="00E96EC7" w:rsidP="002465FB">
      <w:pPr>
        <w:widowControl w:val="0"/>
        <w:autoSpaceDE w:val="0"/>
        <w:autoSpaceDN w:val="0"/>
        <w:adjustRightInd w:val="0"/>
        <w:spacing w:line="360" w:lineRule="auto"/>
        <w:ind w:left="2835" w:right="72"/>
        <w:outlineLvl w:val="0"/>
        <w:rPr>
          <w:noProof/>
          <w:lang w:val="de-DE" w:eastAsia="de-DE"/>
        </w:rPr>
      </w:pPr>
    </w:p>
    <w:p w:rsidR="00E96EC7" w:rsidRDefault="00E96EC7" w:rsidP="002465FB">
      <w:pPr>
        <w:widowControl w:val="0"/>
        <w:autoSpaceDE w:val="0"/>
        <w:autoSpaceDN w:val="0"/>
        <w:adjustRightInd w:val="0"/>
        <w:spacing w:line="360" w:lineRule="auto"/>
        <w:ind w:left="2835" w:right="72"/>
        <w:outlineLvl w:val="0"/>
        <w:rPr>
          <w:noProof/>
          <w:lang w:val="de-DE" w:eastAsia="de-DE"/>
        </w:rPr>
      </w:pPr>
    </w:p>
    <w:p w:rsidR="00E96EC7" w:rsidRDefault="00E96EC7" w:rsidP="002465FB">
      <w:pPr>
        <w:widowControl w:val="0"/>
        <w:autoSpaceDE w:val="0"/>
        <w:autoSpaceDN w:val="0"/>
        <w:adjustRightInd w:val="0"/>
        <w:spacing w:line="360" w:lineRule="auto"/>
        <w:ind w:left="2835" w:right="72"/>
        <w:outlineLvl w:val="0"/>
        <w:rPr>
          <w:noProof/>
          <w:lang w:val="de-DE" w:eastAsia="de-DE"/>
        </w:rPr>
      </w:pPr>
      <w:r>
        <w:rPr>
          <w:noProof/>
          <w:lang w:eastAsia="de-CH"/>
        </w:rPr>
        <w:drawing>
          <wp:anchor distT="0" distB="0" distL="114300" distR="114300" simplePos="0" relativeHeight="251662336" behindDoc="0" locked="0" layoutInCell="1" allowOverlap="1">
            <wp:simplePos x="0" y="0"/>
            <wp:positionH relativeFrom="column">
              <wp:posOffset>0</wp:posOffset>
            </wp:positionH>
            <wp:positionV relativeFrom="paragraph">
              <wp:posOffset>114935</wp:posOffset>
            </wp:positionV>
            <wp:extent cx="1133475" cy="1040130"/>
            <wp:effectExtent l="25400" t="0" r="9525" b="0"/>
            <wp:wrapTight wrapText="bothSides">
              <wp:wrapPolygon edited="0">
                <wp:start x="-484" y="0"/>
                <wp:lineTo x="-484" y="21099"/>
                <wp:lineTo x="21782" y="21099"/>
                <wp:lineTo x="21782" y="0"/>
                <wp:lineTo x="-484"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cstate="print"/>
                    <a:srcRect/>
                    <a:stretch>
                      <a:fillRect/>
                    </a:stretch>
                  </pic:blipFill>
                  <pic:spPr bwMode="auto">
                    <a:xfrm>
                      <a:off x="0" y="0"/>
                      <a:ext cx="1133475" cy="1040130"/>
                    </a:xfrm>
                    <a:prstGeom prst="rect">
                      <a:avLst/>
                    </a:prstGeom>
                    <a:noFill/>
                    <a:ln w="9525">
                      <a:noFill/>
                      <a:miter lim="800000"/>
                      <a:headEnd/>
                      <a:tailEnd/>
                    </a:ln>
                  </pic:spPr>
                </pic:pic>
              </a:graphicData>
            </a:graphic>
          </wp:anchor>
        </w:drawing>
      </w:r>
    </w:p>
    <w:p w:rsidR="005E1FE9" w:rsidRDefault="00E96EC7" w:rsidP="005E1FE9">
      <w:pPr>
        <w:widowControl w:val="0"/>
        <w:autoSpaceDE w:val="0"/>
        <w:autoSpaceDN w:val="0"/>
        <w:adjustRightInd w:val="0"/>
        <w:spacing w:line="360" w:lineRule="auto"/>
        <w:ind w:right="72"/>
        <w:outlineLvl w:val="0"/>
        <w:rPr>
          <w:b/>
          <w:sz w:val="24"/>
        </w:rPr>
      </w:pPr>
      <w:r>
        <w:rPr>
          <w:b/>
          <w:sz w:val="24"/>
        </w:rPr>
        <w:t>Klaus Fetscher</w:t>
      </w:r>
    </w:p>
    <w:p w:rsidR="00E96EC7" w:rsidRDefault="00E96EC7" w:rsidP="005E1FE9">
      <w:pPr>
        <w:widowControl w:val="0"/>
        <w:autoSpaceDE w:val="0"/>
        <w:autoSpaceDN w:val="0"/>
        <w:adjustRightInd w:val="0"/>
        <w:spacing w:line="360" w:lineRule="auto"/>
        <w:ind w:right="72"/>
        <w:outlineLvl w:val="0"/>
      </w:pPr>
      <w:r w:rsidRPr="00E96EC7">
        <w:t xml:space="preserve">M.A., Leiter Sozialberatung, Klinik </w:t>
      </w:r>
      <w:proofErr w:type="spellStart"/>
      <w:r w:rsidRPr="00E96EC7">
        <w:t>Lengg</w:t>
      </w:r>
      <w:proofErr w:type="spellEnd"/>
      <w:r w:rsidRPr="00E96EC7">
        <w:t>, Zürich (CH)</w:t>
      </w:r>
    </w:p>
    <w:p w:rsidR="00E96EC7" w:rsidRPr="00E96EC7" w:rsidRDefault="00E96EC7" w:rsidP="00E96EC7">
      <w:pPr>
        <w:widowControl w:val="0"/>
        <w:autoSpaceDE w:val="0"/>
        <w:autoSpaceDN w:val="0"/>
        <w:adjustRightInd w:val="0"/>
        <w:ind w:right="72"/>
        <w:outlineLvl w:val="0"/>
      </w:pPr>
    </w:p>
    <w:p w:rsidR="00E96EC7" w:rsidRDefault="00E96EC7" w:rsidP="00E96EC7">
      <w:pPr>
        <w:widowControl w:val="0"/>
        <w:autoSpaceDE w:val="0"/>
        <w:autoSpaceDN w:val="0"/>
        <w:adjustRightInd w:val="0"/>
        <w:spacing w:line="360" w:lineRule="auto"/>
        <w:ind w:right="72"/>
        <w:outlineLvl w:val="0"/>
        <w:rPr>
          <w:b/>
          <w:sz w:val="24"/>
        </w:rPr>
      </w:pPr>
    </w:p>
    <w:p w:rsidR="00E96EC7" w:rsidRDefault="00E96EC7" w:rsidP="00E96EC7">
      <w:pPr>
        <w:widowControl w:val="0"/>
        <w:autoSpaceDE w:val="0"/>
        <w:autoSpaceDN w:val="0"/>
        <w:adjustRightInd w:val="0"/>
        <w:spacing w:line="360" w:lineRule="auto"/>
        <w:ind w:right="72"/>
        <w:outlineLvl w:val="0"/>
        <w:rPr>
          <w:b/>
          <w:sz w:val="24"/>
        </w:rPr>
      </w:pPr>
    </w:p>
    <w:p w:rsidR="00E96EC7" w:rsidRDefault="00E96EC7" w:rsidP="00E96EC7">
      <w:pPr>
        <w:widowControl w:val="0"/>
        <w:autoSpaceDE w:val="0"/>
        <w:autoSpaceDN w:val="0"/>
        <w:adjustRightInd w:val="0"/>
        <w:spacing w:line="360" w:lineRule="auto"/>
        <w:ind w:right="72"/>
        <w:outlineLvl w:val="0"/>
        <w:rPr>
          <w:b/>
          <w:sz w:val="24"/>
        </w:rPr>
      </w:pPr>
      <w:r>
        <w:rPr>
          <w:b/>
          <w:noProof/>
          <w:sz w:val="24"/>
          <w:lang w:eastAsia="de-CH"/>
        </w:rPr>
        <w:drawing>
          <wp:anchor distT="0" distB="0" distL="114300" distR="114300" simplePos="0" relativeHeight="251661312" behindDoc="0" locked="0" layoutInCell="1" allowOverlap="1">
            <wp:simplePos x="0" y="0"/>
            <wp:positionH relativeFrom="column">
              <wp:posOffset>5080</wp:posOffset>
            </wp:positionH>
            <wp:positionV relativeFrom="paragraph">
              <wp:posOffset>250190</wp:posOffset>
            </wp:positionV>
            <wp:extent cx="1137285" cy="1148080"/>
            <wp:effectExtent l="25400" t="0" r="5715" b="0"/>
            <wp:wrapTight wrapText="bothSides">
              <wp:wrapPolygon edited="0">
                <wp:start x="-482" y="0"/>
                <wp:lineTo x="-482" y="21027"/>
                <wp:lineTo x="21709" y="21027"/>
                <wp:lineTo x="21709" y="0"/>
                <wp:lineTo x="-482"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37285" cy="1148080"/>
                    </a:xfrm>
                    <a:prstGeom prst="rect">
                      <a:avLst/>
                    </a:prstGeom>
                    <a:noFill/>
                    <a:ln w="9525">
                      <a:noFill/>
                      <a:miter lim="800000"/>
                      <a:headEnd/>
                      <a:tailEnd/>
                    </a:ln>
                  </pic:spPr>
                </pic:pic>
              </a:graphicData>
            </a:graphic>
          </wp:anchor>
        </w:drawing>
      </w:r>
    </w:p>
    <w:p w:rsidR="005E1FE9" w:rsidRDefault="00D22F51" w:rsidP="005E1FE9">
      <w:pPr>
        <w:widowControl w:val="0"/>
        <w:autoSpaceDE w:val="0"/>
        <w:autoSpaceDN w:val="0"/>
        <w:adjustRightInd w:val="0"/>
        <w:spacing w:line="360" w:lineRule="auto"/>
        <w:ind w:right="72"/>
        <w:outlineLvl w:val="0"/>
        <w:rPr>
          <w:b/>
          <w:sz w:val="24"/>
        </w:rPr>
      </w:pPr>
      <w:r>
        <w:rPr>
          <w:b/>
          <w:sz w:val="24"/>
        </w:rPr>
        <w:t>P</w:t>
      </w:r>
      <w:r w:rsidR="00E96EC7">
        <w:rPr>
          <w:b/>
          <w:sz w:val="24"/>
        </w:rPr>
        <w:t>aulo Rotzer</w:t>
      </w:r>
    </w:p>
    <w:p w:rsidR="00AE4627" w:rsidRPr="004E537B" w:rsidRDefault="00E96EC7" w:rsidP="005E1FE9">
      <w:pPr>
        <w:widowControl w:val="0"/>
        <w:autoSpaceDE w:val="0"/>
        <w:autoSpaceDN w:val="0"/>
        <w:adjustRightInd w:val="0"/>
        <w:spacing w:line="360" w:lineRule="auto"/>
        <w:ind w:right="72"/>
        <w:outlineLvl w:val="0"/>
      </w:pPr>
      <w:r>
        <w:t>MAS, Leiter Sozialdienst, Psychiatrische Klinik Zugersee (CH)</w:t>
      </w:r>
    </w:p>
    <w:p w:rsidR="00CB70D7" w:rsidRPr="00CB70D7" w:rsidRDefault="00CB70D7" w:rsidP="005E1FE9">
      <w:pPr>
        <w:widowControl w:val="0"/>
        <w:autoSpaceDE w:val="0"/>
        <w:autoSpaceDN w:val="0"/>
        <w:adjustRightInd w:val="0"/>
        <w:spacing w:line="360" w:lineRule="auto"/>
        <w:ind w:left="2835" w:right="72"/>
      </w:pPr>
    </w:p>
    <w:sectPr w:rsidR="00CB70D7" w:rsidRPr="00CB70D7" w:rsidSect="00AE4627">
      <w:headerReference w:type="first" r:id="rId14"/>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83B6858"/>
    <w:multiLevelType w:val="hybridMultilevel"/>
    <w:tmpl w:val="6B2018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D5F23A1"/>
    <w:multiLevelType w:val="hybridMultilevel"/>
    <w:tmpl w:val="2AE62BAA"/>
    <w:lvl w:ilvl="0" w:tplc="08070001">
      <w:start w:val="1"/>
      <w:numFmt w:val="bullet"/>
      <w:lvlText w:val=""/>
      <w:lvlJc w:val="left"/>
      <w:pPr>
        <w:ind w:left="737" w:hanging="360"/>
      </w:pPr>
      <w:rPr>
        <w:rFonts w:ascii="Symbol" w:hAnsi="Symbol" w:hint="default"/>
      </w:rPr>
    </w:lvl>
    <w:lvl w:ilvl="1" w:tplc="08070003" w:tentative="1">
      <w:start w:val="1"/>
      <w:numFmt w:val="bullet"/>
      <w:lvlText w:val="o"/>
      <w:lvlJc w:val="left"/>
      <w:pPr>
        <w:ind w:left="1457" w:hanging="360"/>
      </w:pPr>
      <w:rPr>
        <w:rFonts w:ascii="Courier New" w:hAnsi="Courier New" w:hint="default"/>
      </w:rPr>
    </w:lvl>
    <w:lvl w:ilvl="2" w:tplc="08070005" w:tentative="1">
      <w:start w:val="1"/>
      <w:numFmt w:val="bullet"/>
      <w:lvlText w:val=""/>
      <w:lvlJc w:val="left"/>
      <w:pPr>
        <w:ind w:left="2177" w:hanging="360"/>
      </w:pPr>
      <w:rPr>
        <w:rFonts w:ascii="Wingdings" w:hAnsi="Wingdings" w:hint="default"/>
      </w:rPr>
    </w:lvl>
    <w:lvl w:ilvl="3" w:tplc="08070001" w:tentative="1">
      <w:start w:val="1"/>
      <w:numFmt w:val="bullet"/>
      <w:lvlText w:val=""/>
      <w:lvlJc w:val="left"/>
      <w:pPr>
        <w:ind w:left="2897" w:hanging="360"/>
      </w:pPr>
      <w:rPr>
        <w:rFonts w:ascii="Symbol" w:hAnsi="Symbol" w:hint="default"/>
      </w:rPr>
    </w:lvl>
    <w:lvl w:ilvl="4" w:tplc="08070003" w:tentative="1">
      <w:start w:val="1"/>
      <w:numFmt w:val="bullet"/>
      <w:lvlText w:val="o"/>
      <w:lvlJc w:val="left"/>
      <w:pPr>
        <w:ind w:left="3617" w:hanging="360"/>
      </w:pPr>
      <w:rPr>
        <w:rFonts w:ascii="Courier New" w:hAnsi="Courier New" w:hint="default"/>
      </w:rPr>
    </w:lvl>
    <w:lvl w:ilvl="5" w:tplc="08070005" w:tentative="1">
      <w:start w:val="1"/>
      <w:numFmt w:val="bullet"/>
      <w:lvlText w:val=""/>
      <w:lvlJc w:val="left"/>
      <w:pPr>
        <w:ind w:left="4337" w:hanging="360"/>
      </w:pPr>
      <w:rPr>
        <w:rFonts w:ascii="Wingdings" w:hAnsi="Wingdings" w:hint="default"/>
      </w:rPr>
    </w:lvl>
    <w:lvl w:ilvl="6" w:tplc="08070001" w:tentative="1">
      <w:start w:val="1"/>
      <w:numFmt w:val="bullet"/>
      <w:lvlText w:val=""/>
      <w:lvlJc w:val="left"/>
      <w:pPr>
        <w:ind w:left="5057" w:hanging="360"/>
      </w:pPr>
      <w:rPr>
        <w:rFonts w:ascii="Symbol" w:hAnsi="Symbol" w:hint="default"/>
      </w:rPr>
    </w:lvl>
    <w:lvl w:ilvl="7" w:tplc="08070003" w:tentative="1">
      <w:start w:val="1"/>
      <w:numFmt w:val="bullet"/>
      <w:lvlText w:val="o"/>
      <w:lvlJc w:val="left"/>
      <w:pPr>
        <w:ind w:left="5777" w:hanging="360"/>
      </w:pPr>
      <w:rPr>
        <w:rFonts w:ascii="Courier New" w:hAnsi="Courier New" w:hint="default"/>
      </w:rPr>
    </w:lvl>
    <w:lvl w:ilvl="8" w:tplc="08070005" w:tentative="1">
      <w:start w:val="1"/>
      <w:numFmt w:val="bullet"/>
      <w:lvlText w:val=""/>
      <w:lvlJc w:val="left"/>
      <w:pPr>
        <w:ind w:left="6497" w:hanging="360"/>
      </w:pPr>
      <w:rPr>
        <w:rFonts w:ascii="Wingdings" w:hAnsi="Wingdings" w:hint="default"/>
      </w:rPr>
    </w:lvl>
  </w:abstractNum>
  <w:abstractNum w:abstractNumId="13">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4">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5">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9">
    <w:nsid w:val="6A8662D4"/>
    <w:multiLevelType w:val="multilevel"/>
    <w:tmpl w:val="75384DEA"/>
    <w:numStyleLink w:val="FHNWAufzhlung"/>
  </w:abstractNum>
  <w:abstractNum w:abstractNumId="20">
    <w:nsid w:val="6D8A05B6"/>
    <w:multiLevelType w:val="hybridMultilevel"/>
    <w:tmpl w:val="C706B49A"/>
    <w:lvl w:ilvl="0" w:tplc="DEE6D00A">
      <w:start w:val="17"/>
      <w:numFmt w:val="bullet"/>
      <w:lvlText w:val="-"/>
      <w:lvlJc w:val="left"/>
      <w:pPr>
        <w:ind w:left="720" w:hanging="360"/>
      </w:pPr>
      <w:rPr>
        <w:rFonts w:ascii="Arial" w:eastAsiaTheme="minorHAnsi"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BC743C8"/>
    <w:multiLevelType w:val="hybridMultilevel"/>
    <w:tmpl w:val="CDFE22E2"/>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6">
    <w:nsid w:val="7D3942F0"/>
    <w:multiLevelType w:val="hybridMultilevel"/>
    <w:tmpl w:val="5F2C7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E7D4B92"/>
    <w:multiLevelType w:val="multilevel"/>
    <w:tmpl w:val="75384DEA"/>
    <w:numStyleLink w:val="FHNWAufzhlung"/>
  </w:abstractNum>
  <w:num w:numId="1">
    <w:abstractNumId w:val="4"/>
  </w:num>
  <w:num w:numId="2">
    <w:abstractNumId w:val="17"/>
  </w:num>
  <w:num w:numId="3">
    <w:abstractNumId w:val="21"/>
  </w:num>
  <w:num w:numId="4">
    <w:abstractNumId w:val="3"/>
  </w:num>
  <w:num w:numId="5">
    <w:abstractNumId w:val="24"/>
  </w:num>
  <w:num w:numId="6">
    <w:abstractNumId w:val="5"/>
  </w:num>
  <w:num w:numId="7">
    <w:abstractNumId w:val="17"/>
  </w:num>
  <w:num w:numId="8">
    <w:abstractNumId w:val="1"/>
  </w:num>
  <w:num w:numId="9">
    <w:abstractNumId w:val="2"/>
  </w:num>
  <w:num w:numId="10">
    <w:abstractNumId w:val="16"/>
  </w:num>
  <w:num w:numId="11">
    <w:abstractNumId w:val="10"/>
  </w:num>
  <w:num w:numId="12">
    <w:abstractNumId w:val="11"/>
  </w:num>
  <w:num w:numId="13">
    <w:abstractNumId w:val="7"/>
  </w:num>
  <w:num w:numId="14">
    <w:abstractNumId w:val="15"/>
  </w:num>
  <w:num w:numId="15">
    <w:abstractNumId w:val="18"/>
  </w:num>
  <w:num w:numId="16">
    <w:abstractNumId w:val="0"/>
  </w:num>
  <w:num w:numId="17">
    <w:abstractNumId w:val="22"/>
  </w:num>
  <w:num w:numId="18">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8"/>
  </w:num>
  <w:num w:numId="20">
    <w:abstractNumId w:val="14"/>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7"/>
  </w:num>
  <w:num w:numId="25">
    <w:abstractNumId w:val="9"/>
  </w:num>
  <w:num w:numId="26">
    <w:abstractNumId w:val="13"/>
  </w:num>
  <w:num w:numId="27">
    <w:abstractNumId w:val="25"/>
  </w:num>
  <w:num w:numId="28">
    <w:abstractNumId w:val="12"/>
  </w:num>
  <w:num w:numId="29">
    <w:abstractNumId w:val="6"/>
  </w:num>
  <w:num w:numId="30">
    <w:abstractNumId w:val="26"/>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56BA9"/>
    <w:rsid w:val="00180D32"/>
    <w:rsid w:val="001C0DDB"/>
    <w:rsid w:val="001D1088"/>
    <w:rsid w:val="001E544A"/>
    <w:rsid w:val="00203DDE"/>
    <w:rsid w:val="00213675"/>
    <w:rsid w:val="002259EE"/>
    <w:rsid w:val="00237809"/>
    <w:rsid w:val="002465FB"/>
    <w:rsid w:val="00287478"/>
    <w:rsid w:val="0029605A"/>
    <w:rsid w:val="002A27DF"/>
    <w:rsid w:val="002B467D"/>
    <w:rsid w:val="002E7766"/>
    <w:rsid w:val="003428E7"/>
    <w:rsid w:val="00351B21"/>
    <w:rsid w:val="00375A78"/>
    <w:rsid w:val="00377142"/>
    <w:rsid w:val="003B7629"/>
    <w:rsid w:val="003D4F97"/>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10C0F"/>
    <w:rsid w:val="00572350"/>
    <w:rsid w:val="0057705E"/>
    <w:rsid w:val="00595194"/>
    <w:rsid w:val="005A5E71"/>
    <w:rsid w:val="005D06CF"/>
    <w:rsid w:val="005E1FE9"/>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97D2A"/>
    <w:rsid w:val="00AA0020"/>
    <w:rsid w:val="00AB4252"/>
    <w:rsid w:val="00AC0F7D"/>
    <w:rsid w:val="00AC1D9F"/>
    <w:rsid w:val="00AC5B16"/>
    <w:rsid w:val="00AD0C43"/>
    <w:rsid w:val="00AE4627"/>
    <w:rsid w:val="00B22B80"/>
    <w:rsid w:val="00B253C0"/>
    <w:rsid w:val="00B33577"/>
    <w:rsid w:val="00B534BF"/>
    <w:rsid w:val="00BE2EDC"/>
    <w:rsid w:val="00BF091D"/>
    <w:rsid w:val="00C00E02"/>
    <w:rsid w:val="00C26422"/>
    <w:rsid w:val="00C32F73"/>
    <w:rsid w:val="00C46B98"/>
    <w:rsid w:val="00C50216"/>
    <w:rsid w:val="00C536C2"/>
    <w:rsid w:val="00C55850"/>
    <w:rsid w:val="00C86E2E"/>
    <w:rsid w:val="00CA50DE"/>
    <w:rsid w:val="00CB70D7"/>
    <w:rsid w:val="00CC7BF8"/>
    <w:rsid w:val="00CE2B5E"/>
    <w:rsid w:val="00D22F51"/>
    <w:rsid w:val="00D3108D"/>
    <w:rsid w:val="00D36B2A"/>
    <w:rsid w:val="00D40A08"/>
    <w:rsid w:val="00D456E5"/>
    <w:rsid w:val="00D778D9"/>
    <w:rsid w:val="00D9060D"/>
    <w:rsid w:val="00DD0651"/>
    <w:rsid w:val="00DF7D0C"/>
    <w:rsid w:val="00E24705"/>
    <w:rsid w:val="00E41F2C"/>
    <w:rsid w:val="00E64A70"/>
    <w:rsid w:val="00E93446"/>
    <w:rsid w:val="00E96EC7"/>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99"/>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87AD0-7278-4E2A-989E-60AFC9B2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2014-03-31T18:04:00Z</dcterms:created>
  <dcterms:modified xsi:type="dcterms:W3CDTF">2014-04-10T09:05:00Z</dcterms:modified>
</cp:coreProperties>
</file>