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D7" w:rsidRDefault="00237809" w:rsidP="00377142">
      <w:r>
        <w:rPr>
          <w:noProof/>
          <w:lang w:eastAsia="de-CH"/>
        </w:rPr>
        <w:drawing>
          <wp:anchor distT="0" distB="0" distL="114300" distR="114300" simplePos="0" relativeHeight="251658240" behindDoc="1" locked="0" layoutInCell="1" allowOverlap="1">
            <wp:simplePos x="0" y="0"/>
            <wp:positionH relativeFrom="column">
              <wp:posOffset>5617845</wp:posOffset>
            </wp:positionH>
            <wp:positionV relativeFrom="paragraph">
              <wp:posOffset>48895</wp:posOffset>
            </wp:positionV>
            <wp:extent cx="254000" cy="762635"/>
            <wp:effectExtent l="0" t="0" r="0" b="0"/>
            <wp:wrapTight wrapText="bothSides">
              <wp:wrapPolygon edited="0">
                <wp:start x="0" y="0"/>
                <wp:lineTo x="0" y="21042"/>
                <wp:lineTo x="19440" y="21042"/>
                <wp:lineTo x="19440" y="0"/>
                <wp:lineTo x="0" y="0"/>
              </wp:wrapPolygon>
            </wp:wrapTight>
            <wp:docPr id="3" name="Grafik 3" descr="T:\A1714_IPW\A1714_Projekte\Tagung Soziale Diagnostik 2014 S205-0003-2\Marketing\Bildstreifen varianten\Bildstreifen_verti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1714_IPW\A1714_Projekte\Tagung Soziale Diagnostik 2014 S205-0003-2\Marketing\Bildstreifen varianten\Bildstreifen_vertik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54000" cy="762635"/>
                    </a:xfrm>
                    <a:prstGeom prst="rect">
                      <a:avLst/>
                    </a:prstGeom>
                    <a:noFill/>
                    <a:ln>
                      <a:noFill/>
                    </a:ln>
                  </pic:spPr>
                </pic:pic>
              </a:graphicData>
            </a:graphic>
          </wp:anchor>
        </w:drawing>
      </w:r>
      <w:r w:rsidR="00E30FEB">
        <w:rPr>
          <w:noProof/>
          <w:lang w:eastAsia="de-CH"/>
        </w:rPr>
        <mc:AlternateContent>
          <mc:Choice Requires="wps">
            <w:drawing>
              <wp:anchor distT="0" distB="0" distL="114300" distR="114300" simplePos="0" relativeHeight="251660288" behindDoc="0" locked="0" layoutInCell="1" allowOverlap="1">
                <wp:simplePos x="0" y="0"/>
                <wp:positionH relativeFrom="column">
                  <wp:posOffset>2412365</wp:posOffset>
                </wp:positionH>
                <wp:positionV relativeFrom="paragraph">
                  <wp:posOffset>12700</wp:posOffset>
                </wp:positionV>
                <wp:extent cx="3157855" cy="847090"/>
                <wp:effectExtent l="0" t="0" r="4445" b="12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847090"/>
                        </a:xfrm>
                        <a:prstGeom prst="rect">
                          <a:avLst/>
                        </a:prstGeom>
                        <a:solidFill>
                          <a:srgbClr val="FFFFFF"/>
                        </a:solidFill>
                        <a:ln w="9525">
                          <a:noFill/>
                          <a:miter lim="800000"/>
                          <a:headEnd/>
                          <a:tailEnd/>
                        </a:ln>
                      </wps:spPr>
                      <wps:txbx>
                        <w:txbxContent>
                          <w:p w:rsidR="00964911" w:rsidRPr="00237809" w:rsidRDefault="00964911" w:rsidP="00964911">
                            <w:pPr>
                              <w:spacing w:line="276" w:lineRule="auto"/>
                              <w:jc w:val="right"/>
                            </w:pPr>
                            <w:r w:rsidRPr="00237809">
                              <w:t>5. Tagung Soziale Diagnostik</w:t>
                            </w:r>
                          </w:p>
                          <w:p w:rsidR="00964911" w:rsidRPr="00237809" w:rsidRDefault="00964911" w:rsidP="00964911">
                            <w:pPr>
                              <w:spacing w:line="276" w:lineRule="auto"/>
                              <w:jc w:val="right"/>
                              <w:rPr>
                                <w:b/>
                                <w:sz w:val="24"/>
                              </w:rPr>
                            </w:pPr>
                            <w:r w:rsidRPr="00237809">
                              <w:rPr>
                                <w:b/>
                                <w:sz w:val="24"/>
                              </w:rPr>
                              <w:t>Diagnostik in der Sozialen Arbeit</w:t>
                            </w:r>
                          </w:p>
                          <w:p w:rsidR="00964911" w:rsidRPr="00237809" w:rsidRDefault="00964911" w:rsidP="00964911">
                            <w:pPr>
                              <w:spacing w:line="276" w:lineRule="auto"/>
                              <w:jc w:val="right"/>
                              <w:rPr>
                                <w:b/>
                                <w:sz w:val="24"/>
                              </w:rPr>
                            </w:pPr>
                            <w:r w:rsidRPr="00237809">
                              <w:rPr>
                                <w:b/>
                                <w:sz w:val="24"/>
                              </w:rPr>
                              <w:t>Wissenschaft trifft Praxis</w:t>
                            </w:r>
                          </w:p>
                          <w:p w:rsidR="00964911" w:rsidRPr="00237809" w:rsidRDefault="004974AC" w:rsidP="00964911">
                            <w:pPr>
                              <w:spacing w:line="276" w:lineRule="auto"/>
                              <w:jc w:val="right"/>
                              <w:rPr>
                                <w:sz w:val="20"/>
                              </w:rPr>
                            </w:pPr>
                            <w:r>
                              <w:rPr>
                                <w:sz w:val="20"/>
                              </w:rPr>
                              <w:t>17./18. Oktober 2014, Olten (CH)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89.95pt;margin-top:1pt;width:248.65pt;height:66.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" stroked="f">
                <v:textbox style="mso-fit-shape-to-text:t">
                  <w:txbxContent>
                    <w:p w:rsidR="00964911" w:rsidRPr="00237809" w:rsidRDefault="00964911" w:rsidP="00964911">
                      <w:pPr>
                        <w:spacing w:line="276" w:lineRule="auto"/>
                        <w:jc w:val="right"/>
                      </w:pPr>
                      <w:r w:rsidRPr="00237809">
                        <w:t>5. Tagung Soziale Diagnostik</w:t>
                      </w:r>
                    </w:p>
                    <w:p w:rsidR="00964911" w:rsidRPr="00237809" w:rsidRDefault="00964911" w:rsidP="00964911">
                      <w:pPr>
                        <w:spacing w:line="276" w:lineRule="auto"/>
                        <w:jc w:val="right"/>
                        <w:rPr>
                          <w:b/>
                          <w:sz w:val="24"/>
                        </w:rPr>
                      </w:pPr>
                      <w:r w:rsidRPr="00237809">
                        <w:rPr>
                          <w:b/>
                          <w:sz w:val="24"/>
                        </w:rPr>
                        <w:t>Diagnostik in der Sozialen Arbeit</w:t>
                      </w:r>
                    </w:p>
                    <w:p w:rsidR="00964911" w:rsidRPr="00237809" w:rsidRDefault="00964911" w:rsidP="00964911">
                      <w:pPr>
                        <w:spacing w:line="276" w:lineRule="auto"/>
                        <w:jc w:val="right"/>
                        <w:rPr>
                          <w:b/>
                          <w:sz w:val="24"/>
                        </w:rPr>
                      </w:pPr>
                      <w:r w:rsidRPr="00237809">
                        <w:rPr>
                          <w:b/>
                          <w:sz w:val="24"/>
                        </w:rPr>
                        <w:t>Wissenschaft trifft Praxis</w:t>
                      </w:r>
                    </w:p>
                    <w:p w:rsidR="00964911" w:rsidRPr="00237809" w:rsidRDefault="004974AC" w:rsidP="00964911">
                      <w:pPr>
                        <w:spacing w:line="276" w:lineRule="auto"/>
                        <w:jc w:val="right"/>
                        <w:rPr>
                          <w:sz w:val="20"/>
                        </w:rPr>
                      </w:pPr>
                      <w:r>
                        <w:rPr>
                          <w:sz w:val="20"/>
                        </w:rPr>
                        <w:t>17./18. Oktober 2014, Olten (CH)</w:t>
                      </w:r>
                    </w:p>
                  </w:txbxContent>
                </v:textbox>
              </v:shape>
            </w:pict>
          </mc:Fallback>
        </mc:AlternateContent>
      </w:r>
      <w:r w:rsidR="00964911" w:rsidRPr="00964911">
        <w:rPr>
          <w:noProof/>
          <w:lang w:eastAsia="de-CH"/>
        </w:rPr>
        <w:drawing>
          <wp:inline distT="0" distB="0" distL="0" distR="0">
            <wp:extent cx="2303813" cy="356885"/>
            <wp:effectExtent l="0" t="0" r="1270" b="5080"/>
            <wp:docPr id="2" name="Grafik 2" descr="http://web.fhnw.ch/cd/corporate-design/fhnw-logos/fhnw_hsa_1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fhnw.ch/cd/corporate-design/fhnw-logos/fhnw_hsa_1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8793" cy="359205"/>
                    </a:xfrm>
                    <a:prstGeom prst="rect">
                      <a:avLst/>
                    </a:prstGeom>
                    <a:noFill/>
                    <a:ln>
                      <a:noFill/>
                    </a:ln>
                  </pic:spPr>
                </pic:pic>
              </a:graphicData>
            </a:graphic>
          </wp:inline>
        </w:drawing>
      </w:r>
    </w:p>
    <w:p w:rsidR="00CB70D7" w:rsidRPr="00CB70D7" w:rsidRDefault="00CB70D7" w:rsidP="00CB70D7"/>
    <w:p w:rsidR="00CB70D7" w:rsidRPr="00CB70D7" w:rsidRDefault="00CB70D7" w:rsidP="00CB70D7"/>
    <w:p w:rsidR="00CB70D7" w:rsidRPr="00CB70D7" w:rsidRDefault="00CB70D7" w:rsidP="00CB70D7">
      <w:bookmarkStart w:id="0" w:name="_GoBack"/>
      <w:bookmarkEnd w:id="0"/>
    </w:p>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AE59C5" w:rsidRDefault="00AE4627" w:rsidP="00BD3AD6">
      <w:pPr>
        <w:pStyle w:val="Kopfzeile"/>
        <w:outlineLvl w:val="0"/>
        <w:rPr>
          <w:sz w:val="28"/>
        </w:rPr>
      </w:pPr>
      <w:r w:rsidRPr="00AE59C5">
        <w:rPr>
          <w:rFonts w:cs="Arial"/>
          <w:sz w:val="24"/>
        </w:rPr>
        <w:t>Panel A: Freitag, 17. Oktober 2014</w:t>
      </w:r>
    </w:p>
    <w:p w:rsidR="00CB70D7" w:rsidRPr="00AE59C5" w:rsidRDefault="00CB70D7" w:rsidP="00CB70D7">
      <w:pPr>
        <w:pStyle w:val="Kopfzeile"/>
      </w:pPr>
    </w:p>
    <w:p w:rsidR="00CB70D7" w:rsidRPr="00AE4627" w:rsidRDefault="00BD3AD6" w:rsidP="004974AC">
      <w:pPr>
        <w:widowControl w:val="0"/>
        <w:tabs>
          <w:tab w:val="left" w:pos="2268"/>
        </w:tabs>
        <w:autoSpaceDE w:val="0"/>
        <w:autoSpaceDN w:val="0"/>
        <w:adjustRightInd w:val="0"/>
        <w:ind w:left="2268" w:right="-432" w:hanging="2268"/>
        <w:rPr>
          <w:rFonts w:cs="Arial"/>
          <w:b/>
          <w:sz w:val="28"/>
        </w:rPr>
      </w:pPr>
      <w:r>
        <w:rPr>
          <w:rFonts w:cs="Arial"/>
          <w:b/>
          <w:sz w:val="28"/>
        </w:rPr>
        <w:t>Workshop A-3</w:t>
      </w:r>
      <w:r w:rsidR="004E537B" w:rsidRPr="00AE4627">
        <w:rPr>
          <w:rFonts w:cs="Arial"/>
          <w:b/>
          <w:sz w:val="28"/>
        </w:rPr>
        <w:tab/>
      </w:r>
      <w:r>
        <w:rPr>
          <w:rFonts w:cs="Arial"/>
          <w:b/>
          <w:sz w:val="28"/>
        </w:rPr>
        <w:t>Erwachsenenschutz</w:t>
      </w:r>
    </w:p>
    <w:p w:rsidR="00CB70D7" w:rsidRDefault="00CB70D7" w:rsidP="004974AC">
      <w:pPr>
        <w:tabs>
          <w:tab w:val="left" w:pos="1985"/>
        </w:tabs>
        <w:ind w:left="2268" w:hanging="2268"/>
        <w:rPr>
          <w:sz w:val="24"/>
        </w:rPr>
      </w:pPr>
    </w:p>
    <w:p w:rsidR="00AE4627" w:rsidRDefault="00AE4627" w:rsidP="00B2587A">
      <w:pPr>
        <w:ind w:left="2268" w:hanging="2268"/>
        <w:rPr>
          <w:sz w:val="24"/>
        </w:rPr>
      </w:pPr>
      <w:r>
        <w:rPr>
          <w:sz w:val="24"/>
        </w:rPr>
        <w:t>Moderation:</w:t>
      </w:r>
      <w:r w:rsidR="00106E4B">
        <w:rPr>
          <w:sz w:val="24"/>
        </w:rPr>
        <w:tab/>
        <w:t xml:space="preserve">Prof. Dr. Dieter </w:t>
      </w:r>
      <w:r w:rsidR="00B2587A">
        <w:rPr>
          <w:sz w:val="24"/>
        </w:rPr>
        <w:t>Röh</w:t>
      </w:r>
    </w:p>
    <w:p w:rsidR="00AE4627" w:rsidRPr="004E537B" w:rsidRDefault="00AE4627" w:rsidP="004974AC">
      <w:pPr>
        <w:tabs>
          <w:tab w:val="left" w:pos="1985"/>
        </w:tabs>
        <w:ind w:left="2268" w:hanging="2268"/>
        <w:rPr>
          <w:sz w:val="24"/>
        </w:rPr>
      </w:pPr>
    </w:p>
    <w:p w:rsidR="004929AF" w:rsidRDefault="004E537B" w:rsidP="004929AF">
      <w:pPr>
        <w:widowControl w:val="0"/>
        <w:autoSpaceDE w:val="0"/>
        <w:autoSpaceDN w:val="0"/>
        <w:adjustRightInd w:val="0"/>
        <w:ind w:left="2268" w:right="-432" w:hanging="2268"/>
        <w:rPr>
          <w:rFonts w:ascii="Times New Roman" w:hAnsi="Times New Roman" w:cs="Times New Roman"/>
        </w:rPr>
      </w:pPr>
      <w:r w:rsidRPr="004E537B">
        <w:rPr>
          <w:b/>
          <w:sz w:val="24"/>
        </w:rPr>
        <w:t>Vortrag:</w:t>
      </w:r>
      <w:r w:rsidRPr="004E537B">
        <w:rPr>
          <w:sz w:val="24"/>
        </w:rPr>
        <w:t xml:space="preserve"> </w:t>
      </w:r>
      <w:r w:rsidRPr="004E537B">
        <w:rPr>
          <w:sz w:val="24"/>
        </w:rPr>
        <w:tab/>
      </w:r>
      <w:r w:rsidR="004929AF" w:rsidRPr="004929AF">
        <w:rPr>
          <w:b/>
          <w:sz w:val="24"/>
        </w:rPr>
        <w:t>Unterstützte Entscheidungsfindung: Projekt "Clearing Plus"</w:t>
      </w:r>
      <w:r w:rsidR="004929AF">
        <w:rPr>
          <w:b/>
          <w:sz w:val="24"/>
        </w:rPr>
        <w:br/>
      </w:r>
      <w:r w:rsidR="004929AF" w:rsidRPr="004929AF">
        <w:rPr>
          <w:b/>
          <w:sz w:val="24"/>
        </w:rPr>
        <w:t>in Österreich</w:t>
      </w:r>
    </w:p>
    <w:p w:rsidR="004E537B" w:rsidRPr="004E537B" w:rsidRDefault="004E537B" w:rsidP="004974AC">
      <w:pPr>
        <w:tabs>
          <w:tab w:val="left" w:pos="2268"/>
        </w:tabs>
        <w:ind w:left="2268" w:hanging="2268"/>
        <w:outlineLvl w:val="0"/>
        <w:rPr>
          <w:rFonts w:cs="Arial"/>
          <w:b/>
          <w:bCs/>
          <w:sz w:val="24"/>
        </w:rPr>
      </w:pPr>
    </w:p>
    <w:p w:rsidR="00CB70D7" w:rsidRDefault="00CB70D7" w:rsidP="00BD3AD6">
      <w:pPr>
        <w:widowControl w:val="0"/>
        <w:autoSpaceDE w:val="0"/>
        <w:autoSpaceDN w:val="0"/>
        <w:adjustRightInd w:val="0"/>
        <w:spacing w:line="276" w:lineRule="auto"/>
        <w:ind w:right="72"/>
        <w:rPr>
          <w:rFonts w:ascii="Times New Roman" w:hAnsi="Times New Roman"/>
        </w:rPr>
      </w:pPr>
    </w:p>
    <w:p w:rsidR="00E30FEB" w:rsidRDefault="00E30FEB" w:rsidP="00BD3AD6">
      <w:pPr>
        <w:widowControl w:val="0"/>
        <w:autoSpaceDE w:val="0"/>
        <w:autoSpaceDN w:val="0"/>
        <w:adjustRightInd w:val="0"/>
        <w:spacing w:line="276" w:lineRule="auto"/>
        <w:ind w:right="72"/>
        <w:rPr>
          <w:rFonts w:ascii="Times New Roman" w:hAnsi="Times New Roman"/>
        </w:rPr>
      </w:pPr>
    </w:p>
    <w:p w:rsidR="00E30FEB" w:rsidRDefault="00E30FEB" w:rsidP="00E30FEB">
      <w:r>
        <w:t>Seit In-Kraft-Treten des Sachwalterrechtsänderungsgesetzes (SWRÄG) 2006 im</w:t>
      </w:r>
      <w:r>
        <w:t xml:space="preserve"> </w:t>
      </w:r>
      <w:r>
        <w:t>Juli 2007 sind die Sachwaltervereine mit einer Clearingfunktion betraut. Inhalt dieses Clearings im Rahmen der Sac</w:t>
      </w:r>
      <w:r>
        <w:t>h</w:t>
      </w:r>
      <w:r>
        <w:t xml:space="preserve">walterschaft ist unter anderem die Abklärung, ob im konkreten Fall Alternativen zur Bestellung eines Sachwalters bestehen und dem Gericht darüber zu berichten. </w:t>
      </w:r>
    </w:p>
    <w:p w:rsidR="00E30FEB" w:rsidRDefault="00E30FEB" w:rsidP="00E30FEB">
      <w:r>
        <w:t>Derzeit werden von VertretungsNetz rd. 5.000 Clearingfälle pro Jahr bearbeitet. In rund einem Drittel der Fälle kann nach Abschluss die Empfehlung abgegeben werden, das Verfahren einzustellen, weil Alternativen zur Sachwalterschaft gefunden wurden.</w:t>
      </w:r>
    </w:p>
    <w:p w:rsidR="00E30FEB" w:rsidRDefault="00E30FEB" w:rsidP="00E30FEB"/>
    <w:p w:rsidR="00E30FEB" w:rsidRDefault="00E30FEB" w:rsidP="00E30FEB">
      <w:r>
        <w:t xml:space="preserve">Österreich hat im Jahre 2008 die </w:t>
      </w:r>
      <w:r>
        <w:rPr>
          <w:i/>
        </w:rPr>
        <w:t>UN-Konvention über die Rechte von Menschen mit Behinderungen (CRPD)</w:t>
      </w:r>
      <w:r>
        <w:t xml:space="preserve"> samt Zusatzprotokoll ratifiziert und sich damit verpflichtet, die Menschenrechte von Me</w:t>
      </w:r>
      <w:r>
        <w:t>n</w:t>
      </w:r>
      <w:r>
        <w:t>schen mit Behinderung im Besonderen zu fördern, zu schützen und zu gewährleisten. Im Bereich der Sachwalterschaft wurden unter anderem eine Reform des Sachwalterrechts unter Partizipation von Menschen mit Behinderungen angekündigt, mit dem Ziel, Alternativen zur Sachwalterschaft einzufü</w:t>
      </w:r>
      <w:r>
        <w:t>h</w:t>
      </w:r>
      <w:r>
        <w:t xml:space="preserve">ren sowie den Aufbau von Strukturen für eine unterstützte Entscheidungsfindung zu fördern. </w:t>
      </w:r>
    </w:p>
    <w:p w:rsidR="00E30FEB" w:rsidRDefault="00E30FEB" w:rsidP="00E30FEB">
      <w:r>
        <w:t xml:space="preserve">Vor diesem Hintergrund wurden die Sachwaltervereine vom Bundesministerium für Justiz mit der Durchführung eines Modellprojekts </w:t>
      </w:r>
      <w:r>
        <w:rPr>
          <w:i/>
        </w:rPr>
        <w:t xml:space="preserve">Clearing Plus - Unterstützung zur Selbstbestimmung </w:t>
      </w:r>
      <w:r>
        <w:t xml:space="preserve">beauftragt. </w:t>
      </w:r>
    </w:p>
    <w:p w:rsidR="00E30FEB" w:rsidRDefault="00E30FEB" w:rsidP="00E30FEB"/>
    <w:p w:rsidR="00E30FEB" w:rsidRDefault="00E30FEB" w:rsidP="00E30FEB">
      <w:pPr>
        <w:widowControl w:val="0"/>
        <w:autoSpaceDE w:val="0"/>
        <w:autoSpaceDN w:val="0"/>
        <w:adjustRightInd w:val="0"/>
        <w:spacing w:line="276" w:lineRule="auto"/>
        <w:ind w:right="72"/>
      </w:pPr>
      <w:r>
        <w:t>Ziel von Clearing Plus ist die Stärkung und der Erhalt der Selbstbestimmung von Menschen mit B</w:t>
      </w:r>
      <w:r>
        <w:t>e</w:t>
      </w:r>
      <w:r>
        <w:t>hinder</w:t>
      </w:r>
      <w:r>
        <w:t>ung im Sinne der UN-Behinderten</w:t>
      </w:r>
      <w:r>
        <w:t>rechtskonvention durch das Vermitteln von Alternativen zu einer Sachwalterschaft. Es sollen subsidiäre Unterstützungsleistungen in verstärktem Ausmaß g</w:t>
      </w:r>
      <w:r>
        <w:t>e</w:t>
      </w:r>
      <w:r>
        <w:t>nützt und Sachwalterschaften nach Möglichkeit verhindert werden. Anhand der Methodik des Case Managements werden die Betroffenen über einen längeren Zeitraum hinweg begleitet und in ve</w:t>
      </w:r>
      <w:r>
        <w:t>r</w:t>
      </w:r>
      <w:r>
        <w:t>stärktem Ausmaß versucht, subsidiäre Hilfen zu erschließen, die ihnen als Unterstützung zur Verf</w:t>
      </w:r>
      <w:r>
        <w:t>ü</w:t>
      </w:r>
      <w:r>
        <w:t>gung stehen. Die Tätigkeit</w:t>
      </w:r>
      <w:r>
        <w:rPr>
          <w:i/>
        </w:rPr>
        <w:t xml:space="preserve"> </w:t>
      </w:r>
      <w:r>
        <w:t>dient funktionell als Drehscheibe zu Modellen Unterstützter Entsche</w:t>
      </w:r>
      <w:r>
        <w:t>i</w:t>
      </w:r>
      <w:r>
        <w:t>dungsfindung. Es soll damit nicht ein etwaig bestehender Mangel an solchen Modellen substituiert werden.</w:t>
      </w:r>
    </w:p>
    <w:p w:rsidR="00E30FEB" w:rsidRDefault="00E30FEB" w:rsidP="00E30FEB">
      <w:pPr>
        <w:widowControl w:val="0"/>
        <w:autoSpaceDE w:val="0"/>
        <w:autoSpaceDN w:val="0"/>
        <w:adjustRightInd w:val="0"/>
        <w:spacing w:line="276" w:lineRule="auto"/>
        <w:ind w:right="72"/>
        <w:rPr>
          <w:rFonts w:ascii="Times New Roman" w:hAnsi="Times New Roman"/>
        </w:rPr>
      </w:pPr>
    </w:p>
    <w:p w:rsidR="004929AF" w:rsidRDefault="00E30FEB" w:rsidP="00E30FEB">
      <w:pPr>
        <w:widowControl w:val="0"/>
        <w:tabs>
          <w:tab w:val="left" w:pos="2268"/>
        </w:tabs>
        <w:autoSpaceDE w:val="0"/>
        <w:autoSpaceDN w:val="0"/>
        <w:adjustRightInd w:val="0"/>
        <w:spacing w:line="276" w:lineRule="auto"/>
        <w:ind w:left="2268" w:right="72" w:hanging="2268"/>
      </w:pPr>
      <w:r>
        <w:t>Referent:</w:t>
      </w:r>
      <w:r>
        <w:tab/>
      </w:r>
      <w:r w:rsidR="004929AF" w:rsidRPr="004929AF">
        <w:rPr>
          <w:b/>
          <w:sz w:val="24"/>
        </w:rPr>
        <w:t>Mag. Martin Marlovits</w:t>
      </w:r>
      <w:r w:rsidR="004929AF" w:rsidRPr="00F1475A">
        <w:t xml:space="preserve"> </w:t>
      </w:r>
    </w:p>
    <w:p w:rsidR="004929AF" w:rsidRDefault="004929AF" w:rsidP="00E30FEB">
      <w:pPr>
        <w:widowControl w:val="0"/>
        <w:tabs>
          <w:tab w:val="left" w:pos="2268"/>
        </w:tabs>
        <w:autoSpaceDE w:val="0"/>
        <w:autoSpaceDN w:val="0"/>
        <w:adjustRightInd w:val="0"/>
        <w:spacing w:line="276" w:lineRule="auto"/>
        <w:ind w:left="2268" w:right="72"/>
      </w:pPr>
      <w:r w:rsidRPr="004929AF">
        <w:t>VertretungsNetz–Sachwalterschaft</w:t>
      </w:r>
      <w:r>
        <w:br/>
      </w:r>
      <w:r w:rsidRPr="004929AF">
        <w:t xml:space="preserve">Patientenanwaltschaft und </w:t>
      </w:r>
      <w:r>
        <w:t>Bewohnervertretung</w:t>
      </w:r>
      <w:r>
        <w:br/>
      </w:r>
      <w:r w:rsidRPr="004929AF">
        <w:t>Stv. Fachbereichsleiter Sachwalterschaft</w:t>
      </w:r>
      <w:r>
        <w:t>, Wien (A)</w:t>
      </w:r>
    </w:p>
    <w:sectPr w:rsidR="004929AF" w:rsidSect="00AE4627">
      <w:headerReference w:type="first" r:id="rId12"/>
      <w:pgSz w:w="11906" w:h="16838" w:code="9"/>
      <w:pgMar w:top="1418" w:right="1134" w:bottom="1134" w:left="85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629" w:rsidRDefault="003B7629" w:rsidP="00A76598">
      <w:r>
        <w:separator/>
      </w:r>
    </w:p>
  </w:endnote>
  <w:endnote w:type="continuationSeparator" w:id="0">
    <w:p w:rsidR="003B7629" w:rsidRDefault="003B7629"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629" w:rsidRPr="00ED0D02" w:rsidRDefault="003B7629" w:rsidP="00ED0D02">
      <w:pPr>
        <w:pStyle w:val="Fuzeile"/>
      </w:pPr>
    </w:p>
  </w:footnote>
  <w:footnote w:type="continuationSeparator" w:id="0">
    <w:p w:rsidR="003B7629" w:rsidRDefault="003B7629" w:rsidP="00A76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437505" w:rsidRPr="00437505" w:rsidRDefault="00437505" w:rsidP="0043750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EF4685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B184C43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5C1623E6"/>
    <w:lvl w:ilvl="0">
      <w:start w:val="1"/>
      <w:numFmt w:val="bullet"/>
      <w:lvlText w:val=""/>
      <w:lvlJc w:val="left"/>
      <w:pPr>
        <w:ind w:left="2061" w:hanging="360"/>
      </w:pPr>
      <w:rPr>
        <w:rFonts w:ascii="Symbol" w:hAnsi="Symbol" w:hint="default"/>
      </w:rPr>
    </w:lvl>
  </w:abstractNum>
  <w:abstractNum w:abstractNumId="3">
    <w:nsid w:val="FFFFFF83"/>
    <w:multiLevelType w:val="singleLevel"/>
    <w:tmpl w:val="6CCC4272"/>
    <w:lvl w:ilvl="0">
      <w:start w:val="1"/>
      <w:numFmt w:val="bullet"/>
      <w:lvlText w:val=""/>
      <w:lvlJc w:val="left"/>
      <w:pPr>
        <w:ind w:left="927" w:hanging="360"/>
      </w:pPr>
      <w:rPr>
        <w:rFonts w:ascii="Symbol" w:hAnsi="Symbol" w:hint="default"/>
      </w:rPr>
    </w:lvl>
  </w:abstractNum>
  <w:abstractNum w:abstractNumId="4">
    <w:nsid w:val="FFFFFF89"/>
    <w:multiLevelType w:val="singleLevel"/>
    <w:tmpl w:val="63C6400C"/>
    <w:lvl w:ilvl="0">
      <w:start w:val="1"/>
      <w:numFmt w:val="bullet"/>
      <w:lvlText w:val=""/>
      <w:lvlJc w:val="left"/>
      <w:pPr>
        <w:ind w:left="360" w:hanging="360"/>
      </w:pPr>
      <w:rPr>
        <w:rFonts w:ascii="Symbol" w:hAnsi="Symbol" w:hint="default"/>
      </w:rPr>
    </w:lvl>
  </w:abstractNum>
  <w:abstractNum w:abstractNumId="5">
    <w:nsid w:val="006D7B89"/>
    <w:multiLevelType w:val="hybridMultilevel"/>
    <w:tmpl w:val="58FC1CDE"/>
    <w:lvl w:ilvl="0" w:tplc="BA164EB8">
      <w:start w:val="1"/>
      <w:numFmt w:val="bullet"/>
      <w:lvlText w:val=""/>
      <w:lvlJc w:val="left"/>
      <w:pPr>
        <w:ind w:left="567" w:hanging="56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0B10192E"/>
    <w:multiLevelType w:val="multilevel"/>
    <w:tmpl w:val="DA1CEF56"/>
    <w:lvl w:ilvl="0">
      <w:start w:val="1"/>
      <w:numFmt w:val="decimal"/>
      <w:lvlText w:val="%1."/>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55D4ECB"/>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8">
    <w:nsid w:val="24C0183D"/>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2B2E4FEE"/>
    <w:multiLevelType w:val="hybridMultilevel"/>
    <w:tmpl w:val="92A0889E"/>
    <w:lvl w:ilvl="0" w:tplc="0C800894">
      <w:start w:val="1"/>
      <w:numFmt w:val="decimal"/>
      <w:lvlText w:val="%1."/>
      <w:lvlJc w:val="left"/>
      <w:pPr>
        <w:ind w:left="720" w:hanging="360"/>
      </w:p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2B326A66"/>
    <w:multiLevelType w:val="hybridMultilevel"/>
    <w:tmpl w:val="50288A98"/>
    <w:lvl w:ilvl="0" w:tplc="3708AE6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45B503F2"/>
    <w:multiLevelType w:val="hybridMultilevel"/>
    <w:tmpl w:val="AF4EB4CC"/>
    <w:lvl w:ilvl="0" w:tplc="D2242C02">
      <w:start w:val="1"/>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2">
    <w:nsid w:val="4962687F"/>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3">
    <w:nsid w:val="4E02712E"/>
    <w:multiLevelType w:val="multilevel"/>
    <w:tmpl w:val="50682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E7D487C"/>
    <w:multiLevelType w:val="multilevel"/>
    <w:tmpl w:val="5BBEFE14"/>
    <w:lvl w:ilvl="0">
      <w:start w:val="1"/>
      <w:numFmt w:val="decimal"/>
      <w:lvlText w:val="%1."/>
      <w:lvlJc w:val="left"/>
      <w:pPr>
        <w:ind w:left="1134" w:hanging="113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17">
    <w:nsid w:val="6A8662D4"/>
    <w:multiLevelType w:val="multilevel"/>
    <w:tmpl w:val="75384DEA"/>
    <w:numStyleLink w:val="FHNWAufzhlung"/>
  </w:abstractNum>
  <w:abstractNum w:abstractNumId="18">
    <w:nsid w:val="70C9118D"/>
    <w:multiLevelType w:val="hybridMultilevel"/>
    <w:tmpl w:val="29C4984E"/>
    <w:lvl w:ilvl="0" w:tplc="A956BA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7128597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nsid w:val="799F0B82"/>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7B6B095B"/>
    <w:multiLevelType w:val="hybridMultilevel"/>
    <w:tmpl w:val="36E0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7E7D4B92"/>
    <w:multiLevelType w:val="multilevel"/>
    <w:tmpl w:val="75384DEA"/>
    <w:numStyleLink w:val="FHNWAufzhlung"/>
  </w:abstractNum>
  <w:num w:numId="1">
    <w:abstractNumId w:val="4"/>
  </w:num>
  <w:num w:numId="2">
    <w:abstractNumId w:val="15"/>
  </w:num>
  <w:num w:numId="3">
    <w:abstractNumId w:val="18"/>
  </w:num>
  <w:num w:numId="4">
    <w:abstractNumId w:val="3"/>
  </w:num>
  <w:num w:numId="5">
    <w:abstractNumId w:val="21"/>
  </w:num>
  <w:num w:numId="6">
    <w:abstractNumId w:val="5"/>
  </w:num>
  <w:num w:numId="7">
    <w:abstractNumId w:val="15"/>
  </w:num>
  <w:num w:numId="8">
    <w:abstractNumId w:val="1"/>
  </w:num>
  <w:num w:numId="9">
    <w:abstractNumId w:val="2"/>
  </w:num>
  <w:num w:numId="10">
    <w:abstractNumId w:val="14"/>
  </w:num>
  <w:num w:numId="11">
    <w:abstractNumId w:val="9"/>
  </w:num>
  <w:num w:numId="12">
    <w:abstractNumId w:val="10"/>
  </w:num>
  <w:num w:numId="13">
    <w:abstractNumId w:val="6"/>
  </w:num>
  <w:num w:numId="14">
    <w:abstractNumId w:val="13"/>
  </w:num>
  <w:num w:numId="15">
    <w:abstractNumId w:val="16"/>
  </w:num>
  <w:num w:numId="16">
    <w:abstractNumId w:val="0"/>
  </w:num>
  <w:num w:numId="17">
    <w:abstractNumId w:val="19"/>
  </w:num>
  <w:num w:numId="18">
    <w:abstractNumId w:val="19"/>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680" w:hanging="680"/>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19">
    <w:abstractNumId w:val="7"/>
  </w:num>
  <w:num w:numId="20">
    <w:abstractNumId w:val="12"/>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2"/>
  </w:num>
  <w:num w:numId="25">
    <w:abstractNumId w:val="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defaultTabStop w:val="709"/>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911"/>
    <w:rsid w:val="000210DE"/>
    <w:rsid w:val="0005534A"/>
    <w:rsid w:val="00071507"/>
    <w:rsid w:val="0007353D"/>
    <w:rsid w:val="00084046"/>
    <w:rsid w:val="000976AF"/>
    <w:rsid w:val="000E5CC1"/>
    <w:rsid w:val="000F7F62"/>
    <w:rsid w:val="00106E4B"/>
    <w:rsid w:val="00106EAE"/>
    <w:rsid w:val="001149D2"/>
    <w:rsid w:val="00156BA9"/>
    <w:rsid w:val="00180D32"/>
    <w:rsid w:val="001C0DDB"/>
    <w:rsid w:val="001D1088"/>
    <w:rsid w:val="001E544A"/>
    <w:rsid w:val="00203DDE"/>
    <w:rsid w:val="00213675"/>
    <w:rsid w:val="002259EE"/>
    <w:rsid w:val="00237809"/>
    <w:rsid w:val="00287478"/>
    <w:rsid w:val="0029605A"/>
    <w:rsid w:val="002A27DF"/>
    <w:rsid w:val="002B467D"/>
    <w:rsid w:val="002E7766"/>
    <w:rsid w:val="003428E7"/>
    <w:rsid w:val="00351B21"/>
    <w:rsid w:val="00375A78"/>
    <w:rsid w:val="00377142"/>
    <w:rsid w:val="003B7629"/>
    <w:rsid w:val="003D4F97"/>
    <w:rsid w:val="00400861"/>
    <w:rsid w:val="00405B61"/>
    <w:rsid w:val="0040684A"/>
    <w:rsid w:val="00420F57"/>
    <w:rsid w:val="00425687"/>
    <w:rsid w:val="00430EB8"/>
    <w:rsid w:val="00437505"/>
    <w:rsid w:val="00460C63"/>
    <w:rsid w:val="00473483"/>
    <w:rsid w:val="004929AF"/>
    <w:rsid w:val="004974AC"/>
    <w:rsid w:val="004B3795"/>
    <w:rsid w:val="004B558A"/>
    <w:rsid w:val="004C5569"/>
    <w:rsid w:val="004C6864"/>
    <w:rsid w:val="004E537B"/>
    <w:rsid w:val="004E74B4"/>
    <w:rsid w:val="004F505A"/>
    <w:rsid w:val="00572350"/>
    <w:rsid w:val="0057705E"/>
    <w:rsid w:val="00595194"/>
    <w:rsid w:val="005A5E71"/>
    <w:rsid w:val="005D06CF"/>
    <w:rsid w:val="005E2EF6"/>
    <w:rsid w:val="00607F7C"/>
    <w:rsid w:val="00633A4F"/>
    <w:rsid w:val="006342C6"/>
    <w:rsid w:val="00672C6E"/>
    <w:rsid w:val="006D02C9"/>
    <w:rsid w:val="006D1010"/>
    <w:rsid w:val="006F4D85"/>
    <w:rsid w:val="00710CED"/>
    <w:rsid w:val="00715417"/>
    <w:rsid w:val="00730FF8"/>
    <w:rsid w:val="00736060"/>
    <w:rsid w:val="0073767C"/>
    <w:rsid w:val="007531B9"/>
    <w:rsid w:val="00757602"/>
    <w:rsid w:val="00787B51"/>
    <w:rsid w:val="00796720"/>
    <w:rsid w:val="007C2CBA"/>
    <w:rsid w:val="007D27D0"/>
    <w:rsid w:val="007D3D38"/>
    <w:rsid w:val="007E0B2A"/>
    <w:rsid w:val="007E3C24"/>
    <w:rsid w:val="007F05CD"/>
    <w:rsid w:val="00846B2E"/>
    <w:rsid w:val="00856097"/>
    <w:rsid w:val="00872A31"/>
    <w:rsid w:val="00884CF6"/>
    <w:rsid w:val="00890A63"/>
    <w:rsid w:val="008C043B"/>
    <w:rsid w:val="008E73D6"/>
    <w:rsid w:val="008F4362"/>
    <w:rsid w:val="00923475"/>
    <w:rsid w:val="0093668C"/>
    <w:rsid w:val="00952F27"/>
    <w:rsid w:val="009604BA"/>
    <w:rsid w:val="00964911"/>
    <w:rsid w:val="00976795"/>
    <w:rsid w:val="00986379"/>
    <w:rsid w:val="009D65FB"/>
    <w:rsid w:val="009E55BD"/>
    <w:rsid w:val="009E67A7"/>
    <w:rsid w:val="00A13505"/>
    <w:rsid w:val="00A5737E"/>
    <w:rsid w:val="00A723BF"/>
    <w:rsid w:val="00A76598"/>
    <w:rsid w:val="00AA0020"/>
    <w:rsid w:val="00AB4252"/>
    <w:rsid w:val="00AC0F7D"/>
    <w:rsid w:val="00AC1D9F"/>
    <w:rsid w:val="00AC5B16"/>
    <w:rsid w:val="00AD0C43"/>
    <w:rsid w:val="00AE4627"/>
    <w:rsid w:val="00AE59C5"/>
    <w:rsid w:val="00B22B80"/>
    <w:rsid w:val="00B253C0"/>
    <w:rsid w:val="00B2587A"/>
    <w:rsid w:val="00B33577"/>
    <w:rsid w:val="00B534BF"/>
    <w:rsid w:val="00BD3AD6"/>
    <w:rsid w:val="00BE2EDC"/>
    <w:rsid w:val="00BF091D"/>
    <w:rsid w:val="00C00E02"/>
    <w:rsid w:val="00C26422"/>
    <w:rsid w:val="00C4443D"/>
    <w:rsid w:val="00C46B98"/>
    <w:rsid w:val="00C50216"/>
    <w:rsid w:val="00C536C2"/>
    <w:rsid w:val="00C55850"/>
    <w:rsid w:val="00C86E2E"/>
    <w:rsid w:val="00CA50DE"/>
    <w:rsid w:val="00CB70D7"/>
    <w:rsid w:val="00CC7BF8"/>
    <w:rsid w:val="00CE2B5E"/>
    <w:rsid w:val="00D3108D"/>
    <w:rsid w:val="00D36B2A"/>
    <w:rsid w:val="00D40A08"/>
    <w:rsid w:val="00D456E5"/>
    <w:rsid w:val="00D778D9"/>
    <w:rsid w:val="00DD0651"/>
    <w:rsid w:val="00DF7D0C"/>
    <w:rsid w:val="00E24705"/>
    <w:rsid w:val="00E30FEB"/>
    <w:rsid w:val="00E41F2C"/>
    <w:rsid w:val="00E64A70"/>
    <w:rsid w:val="00E93446"/>
    <w:rsid w:val="00EC489F"/>
    <w:rsid w:val="00EC7105"/>
    <w:rsid w:val="00ED076C"/>
    <w:rsid w:val="00ED0D02"/>
    <w:rsid w:val="00EF37AE"/>
    <w:rsid w:val="00F140C5"/>
    <w:rsid w:val="00F1475A"/>
    <w:rsid w:val="00F2238D"/>
    <w:rsid w:val="00F369AA"/>
    <w:rsid w:val="00F56BE1"/>
    <w:rsid w:val="00F73D6D"/>
    <w:rsid w:val="00FD1AB7"/>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7441">
      <w:bodyDiv w:val="1"/>
      <w:marLeft w:val="0"/>
      <w:marRight w:val="0"/>
      <w:marTop w:val="0"/>
      <w:marBottom w:val="0"/>
      <w:divBdr>
        <w:top w:val="none" w:sz="0" w:space="0" w:color="auto"/>
        <w:left w:val="none" w:sz="0" w:space="0" w:color="auto"/>
        <w:bottom w:val="none" w:sz="0" w:space="0" w:color="auto"/>
        <w:right w:val="none" w:sz="0" w:space="0" w:color="auto"/>
      </w:divBdr>
    </w:div>
    <w:div w:id="133819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DB2426-3F53-4925-AB06-D3E2A999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2149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2014-04-23T09:35:00Z</dcterms:created>
  <dcterms:modified xsi:type="dcterms:W3CDTF">2014-04-23T09:35:00Z</dcterms:modified>
</cp:coreProperties>
</file>