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CC78CA">
        <w:rPr>
          <w:noProof/>
          <w:lang w:eastAsia="de-CH"/>
        </w:rPr>
        <mc:AlternateContent>
          <mc:Choice Requires="wps">
            <w:drawing>
              <wp:anchor distT="0" distB="0" distL="114300" distR="114300" simplePos="0" relativeHeight="251660288" behindDoc="0" locked="0" layoutInCell="1" allowOverlap="1">
                <wp:simplePos x="0" y="0"/>
                <wp:positionH relativeFrom="column">
                  <wp:posOffset>2412365</wp:posOffset>
                </wp:positionH>
                <wp:positionV relativeFrom="paragraph">
                  <wp:posOffset>12700</wp:posOffset>
                </wp:positionV>
                <wp:extent cx="3157855" cy="847090"/>
                <wp:effectExtent l="0" t="0" r="444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47090"/>
                        </a:xfrm>
                        <a:prstGeom prst="rect">
                          <a:avLst/>
                        </a:prstGeom>
                        <a:solidFill>
                          <a:srgbClr val="FFFFFF"/>
                        </a:solidFill>
                        <a:ln w="9525">
                          <a:noFill/>
                          <a:miter lim="800000"/>
                          <a:headEnd/>
                          <a:tailEnd/>
                        </a:ln>
                      </wps:spPr>
                      <wps:txbx>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BC30B7" w:rsidP="00964911">
                            <w:pPr>
                              <w:spacing w:line="276" w:lineRule="auto"/>
                              <w:jc w:val="right"/>
                              <w:rPr>
                                <w:sz w:val="20"/>
                              </w:rPr>
                            </w:pPr>
                            <w:r>
                              <w:rPr>
                                <w:sz w:val="20"/>
                              </w:rPr>
                              <w:t>17./18. Oktober 2014, Olten (CH)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BC30B7" w:rsidP="00964911">
                      <w:pPr>
                        <w:spacing w:line="276" w:lineRule="auto"/>
                        <w:jc w:val="right"/>
                        <w:rPr>
                          <w:sz w:val="20"/>
                        </w:rPr>
                      </w:pPr>
                      <w:r>
                        <w:rPr>
                          <w:sz w:val="20"/>
                        </w:rPr>
                        <w:t>17./18. Oktober 2014, Olten (CH)</w:t>
                      </w:r>
                    </w:p>
                  </w:txbxContent>
                </v:textbox>
              </v:shape>
            </w:pict>
          </mc:Fallback>
        </mc:AlternateConten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B82A4D" w:rsidRPr="006531E0" w:rsidRDefault="00BC30B7" w:rsidP="00CB70D7">
      <w:pPr>
        <w:pStyle w:val="Kopfzeile"/>
        <w:rPr>
          <w:rFonts w:cs="Arial"/>
          <w:sz w:val="24"/>
        </w:rPr>
      </w:pPr>
      <w:r w:rsidRPr="006531E0">
        <w:rPr>
          <w:rFonts w:cs="Arial"/>
          <w:sz w:val="24"/>
        </w:rPr>
        <w:t>Panel A: Freitag, 17. Oktober 2014</w:t>
      </w:r>
    </w:p>
    <w:p w:rsidR="00BC30B7" w:rsidRPr="009C1BA1" w:rsidRDefault="00BC30B7" w:rsidP="00CB70D7">
      <w:pPr>
        <w:pStyle w:val="Kopfzeile"/>
      </w:pPr>
    </w:p>
    <w:p w:rsidR="00CB70D7" w:rsidRPr="00C776E8" w:rsidRDefault="00CB70D7" w:rsidP="00D25C00">
      <w:pPr>
        <w:widowControl w:val="0"/>
        <w:autoSpaceDE w:val="0"/>
        <w:autoSpaceDN w:val="0"/>
        <w:adjustRightInd w:val="0"/>
        <w:ind w:left="2268" w:right="-432" w:hanging="2268"/>
        <w:rPr>
          <w:rFonts w:cs="Arial"/>
          <w:b/>
          <w:sz w:val="28"/>
        </w:rPr>
      </w:pPr>
      <w:r w:rsidRPr="00C776E8">
        <w:rPr>
          <w:rFonts w:cs="Arial"/>
          <w:b/>
          <w:sz w:val="28"/>
        </w:rPr>
        <w:t>Workshop A-2</w:t>
      </w:r>
      <w:r w:rsidR="004E537B" w:rsidRPr="00C776E8">
        <w:rPr>
          <w:rFonts w:cs="Arial"/>
          <w:b/>
          <w:sz w:val="28"/>
        </w:rPr>
        <w:tab/>
      </w:r>
      <w:r w:rsidR="0042271A">
        <w:rPr>
          <w:rFonts w:cs="Arial"/>
          <w:b/>
          <w:sz w:val="28"/>
        </w:rPr>
        <w:t>Kindes</w:t>
      </w:r>
      <w:r w:rsidRPr="00C776E8">
        <w:rPr>
          <w:rFonts w:cs="Arial"/>
          <w:b/>
          <w:sz w:val="28"/>
        </w:rPr>
        <w:t>schutz</w:t>
      </w:r>
    </w:p>
    <w:p w:rsidR="00BC30B7" w:rsidRPr="00C776E8" w:rsidRDefault="00BC30B7" w:rsidP="00D25C00">
      <w:pPr>
        <w:widowControl w:val="0"/>
        <w:tabs>
          <w:tab w:val="left" w:pos="2268"/>
        </w:tabs>
        <w:autoSpaceDE w:val="0"/>
        <w:autoSpaceDN w:val="0"/>
        <w:adjustRightInd w:val="0"/>
        <w:ind w:left="2268" w:right="-432" w:hanging="2268"/>
        <w:rPr>
          <w:rFonts w:cs="Arial"/>
          <w:b/>
          <w:sz w:val="32"/>
        </w:rPr>
      </w:pPr>
    </w:p>
    <w:p w:rsidR="00BC30B7" w:rsidRDefault="00BC30B7" w:rsidP="00D25C00">
      <w:pPr>
        <w:ind w:left="2268" w:hanging="2268"/>
        <w:rPr>
          <w:sz w:val="24"/>
        </w:rPr>
      </w:pPr>
      <w:r>
        <w:rPr>
          <w:sz w:val="24"/>
        </w:rPr>
        <w:t>Moderation:</w:t>
      </w:r>
      <w:r w:rsidR="00CC78CA">
        <w:rPr>
          <w:sz w:val="24"/>
        </w:rPr>
        <w:tab/>
      </w:r>
      <w:r w:rsidR="00BC435E">
        <w:rPr>
          <w:sz w:val="24"/>
        </w:rPr>
        <w:t>Franziska Voegeli</w:t>
      </w:r>
    </w:p>
    <w:p w:rsidR="00BC30B7" w:rsidRPr="004E537B" w:rsidRDefault="00BC30B7" w:rsidP="00D25C00">
      <w:pPr>
        <w:ind w:left="2268" w:hanging="2268"/>
        <w:rPr>
          <w:sz w:val="24"/>
        </w:rPr>
      </w:pPr>
    </w:p>
    <w:p w:rsidR="00CB70D7" w:rsidRDefault="00BC30B7" w:rsidP="00D25C00">
      <w:pPr>
        <w:ind w:left="2268" w:hanging="2268"/>
        <w:rPr>
          <w:noProof/>
          <w:lang w:eastAsia="de-CH"/>
        </w:rPr>
      </w:pPr>
      <w:r w:rsidRPr="00BC30B7">
        <w:rPr>
          <w:rFonts w:cs="Arial"/>
          <w:b/>
          <w:sz w:val="24"/>
        </w:rPr>
        <w:t>Vortrag</w:t>
      </w:r>
      <w:r w:rsidR="004E537B" w:rsidRPr="004E537B">
        <w:rPr>
          <w:sz w:val="24"/>
        </w:rPr>
        <w:tab/>
      </w:r>
      <w:r w:rsidR="00B82A4D" w:rsidRPr="00B82A4D">
        <w:rPr>
          <w:rFonts w:cs="Arial"/>
          <w:b/>
          <w:sz w:val="24"/>
        </w:rPr>
        <w:t>Entwicklung und Erprobung eines Prozessmanual zur dial</w:t>
      </w:r>
      <w:r w:rsidR="00B82A4D" w:rsidRPr="00B82A4D">
        <w:rPr>
          <w:rFonts w:cs="Arial"/>
          <w:b/>
          <w:sz w:val="24"/>
        </w:rPr>
        <w:t>o</w:t>
      </w:r>
      <w:r w:rsidR="00B82A4D" w:rsidRPr="00B82A4D">
        <w:rPr>
          <w:rFonts w:cs="Arial"/>
          <w:b/>
          <w:sz w:val="24"/>
        </w:rPr>
        <w:t xml:space="preserve">gisch-systemischen Kindeswohlabklärung: </w:t>
      </w:r>
      <w:r w:rsidR="00B82A4D">
        <w:rPr>
          <w:rFonts w:cs="Arial"/>
          <w:b/>
          <w:sz w:val="24"/>
        </w:rPr>
        <w:br/>
      </w:r>
      <w:bookmarkStart w:id="0" w:name="_GoBack"/>
      <w:bookmarkEnd w:id="0"/>
      <w:r w:rsidR="00B82A4D" w:rsidRPr="00B82A4D">
        <w:rPr>
          <w:rFonts w:cs="Arial"/>
          <w:b/>
          <w:sz w:val="24"/>
        </w:rPr>
        <w:t>Ein- und Ausblicke in ein Projekt zur Stärkung guter Kinde</w:t>
      </w:r>
      <w:r w:rsidR="00B82A4D" w:rsidRPr="00B82A4D">
        <w:rPr>
          <w:rFonts w:cs="Arial"/>
          <w:b/>
          <w:sz w:val="24"/>
        </w:rPr>
        <w:t>s</w:t>
      </w:r>
      <w:r w:rsidR="00B82A4D" w:rsidRPr="00B82A4D">
        <w:rPr>
          <w:rFonts w:cs="Arial"/>
          <w:b/>
          <w:sz w:val="24"/>
        </w:rPr>
        <w:t>schutzarbeit</w:t>
      </w:r>
      <w:r w:rsidR="00B82A4D">
        <w:rPr>
          <w:noProof/>
          <w:lang w:eastAsia="de-CH"/>
        </w:rPr>
        <w:t xml:space="preserve"> </w:t>
      </w:r>
    </w:p>
    <w:p w:rsidR="00B82A4D" w:rsidRPr="00CB70D7" w:rsidRDefault="00B82A4D" w:rsidP="00D25C00">
      <w:pPr>
        <w:ind w:left="2268" w:hanging="2268"/>
      </w:pPr>
    </w:p>
    <w:p w:rsidR="00B82A4D" w:rsidRDefault="00B82A4D" w:rsidP="00CB70D7">
      <w:pPr>
        <w:widowControl w:val="0"/>
        <w:autoSpaceDE w:val="0"/>
        <w:autoSpaceDN w:val="0"/>
        <w:adjustRightInd w:val="0"/>
        <w:ind w:right="72"/>
      </w:pPr>
    </w:p>
    <w:p w:rsidR="00B82A4D" w:rsidRPr="00B82A4D" w:rsidRDefault="00B82A4D" w:rsidP="00B82A4D">
      <w:pPr>
        <w:autoSpaceDE w:val="0"/>
        <w:autoSpaceDN w:val="0"/>
        <w:adjustRightInd w:val="0"/>
        <w:spacing w:line="276" w:lineRule="auto"/>
        <w:rPr>
          <w:rFonts w:cs="Arial"/>
        </w:rPr>
      </w:pPr>
      <w:r w:rsidRPr="00B82A4D">
        <w:rPr>
          <w:rFonts w:cs="Arial"/>
        </w:rPr>
        <w:t>In Kooperation mit den Sozialen Diensten der Stadt Aarau, dem Kinder- und Jugenddienst des Kantons Basel-Stadt, dem Amt für Jugend- und Berufsberatung des Kantons Zürich und der Zuger Fachstelle ‚punkto Jugend und Kind‘ entwickelt die Hochschule für Soziale Arbeit FHNW ein Prozessmanual zur dialogisch-systemischen Kindeswohlabklärung. Das Projekt wird von der Kommission für Technologie und Innovation (KTI) des Eidgenössischen Departments für Wirtschaft, Bildung und Forschung (WBF) gefördert. Das zu entwickelnde Prozessmanual soll sich von den verfügbaren Verfahren und Instrumenten zur Einschätzung von Kindeswohlg</w:t>
      </w:r>
      <w:r w:rsidRPr="00B82A4D">
        <w:rPr>
          <w:rFonts w:cs="Arial"/>
        </w:rPr>
        <w:t>e</w:t>
      </w:r>
      <w:r w:rsidRPr="00B82A4D">
        <w:rPr>
          <w:rFonts w:cs="Arial"/>
        </w:rPr>
        <w:t>fährdung unterscheiden: es wird erstmals ein Verfahrensstandard für Abklärungen des Kinde</w:t>
      </w:r>
      <w:r w:rsidRPr="00B82A4D">
        <w:rPr>
          <w:rFonts w:cs="Arial"/>
        </w:rPr>
        <w:t>s</w:t>
      </w:r>
      <w:r w:rsidRPr="00B82A4D">
        <w:rPr>
          <w:rFonts w:cs="Arial"/>
        </w:rPr>
        <w:t xml:space="preserve">wohls entwickelt, der </w:t>
      </w:r>
    </w:p>
    <w:p w:rsidR="00B82A4D" w:rsidRPr="00B82A4D" w:rsidRDefault="00B82A4D" w:rsidP="00B82A4D">
      <w:pPr>
        <w:autoSpaceDE w:val="0"/>
        <w:autoSpaceDN w:val="0"/>
        <w:adjustRightInd w:val="0"/>
        <w:spacing w:before="120" w:line="276" w:lineRule="auto"/>
        <w:rPr>
          <w:rFonts w:cs="Arial"/>
        </w:rPr>
      </w:pPr>
      <w:r w:rsidRPr="00B82A4D">
        <w:rPr>
          <w:rFonts w:cs="Arial"/>
        </w:rPr>
        <w:t xml:space="preserve">(1) unterschiedliche Konzeptionen der Risikoeinschätzung mit solchen der </w:t>
      </w:r>
    </w:p>
    <w:p w:rsidR="00B82A4D" w:rsidRPr="00B82A4D" w:rsidRDefault="00B82A4D" w:rsidP="00B82A4D">
      <w:pPr>
        <w:autoSpaceDE w:val="0"/>
        <w:autoSpaceDN w:val="0"/>
        <w:adjustRightInd w:val="0"/>
        <w:spacing w:line="276" w:lineRule="auto"/>
        <w:rPr>
          <w:rFonts w:cs="Arial"/>
        </w:rPr>
      </w:pPr>
      <w:r w:rsidRPr="00B82A4D">
        <w:rPr>
          <w:rFonts w:cs="Arial"/>
        </w:rPr>
        <w:t xml:space="preserve">(2) sozialen Diagnostik, </w:t>
      </w:r>
    </w:p>
    <w:p w:rsidR="00B82A4D" w:rsidRPr="00B82A4D" w:rsidRDefault="00B82A4D" w:rsidP="00B82A4D">
      <w:pPr>
        <w:autoSpaceDE w:val="0"/>
        <w:autoSpaceDN w:val="0"/>
        <w:adjustRightInd w:val="0"/>
        <w:spacing w:line="276" w:lineRule="auto"/>
        <w:rPr>
          <w:rFonts w:cs="Arial"/>
        </w:rPr>
      </w:pPr>
      <w:r w:rsidRPr="00B82A4D">
        <w:rPr>
          <w:rFonts w:cs="Arial"/>
        </w:rPr>
        <w:t xml:space="preserve">(3) der methodisch gesicherten Beteiligung der Nutzerinnen und Nutzer und </w:t>
      </w:r>
    </w:p>
    <w:p w:rsidR="00B82A4D" w:rsidRPr="00B82A4D" w:rsidRDefault="00B82A4D" w:rsidP="006531E0">
      <w:pPr>
        <w:autoSpaceDE w:val="0"/>
        <w:autoSpaceDN w:val="0"/>
        <w:adjustRightInd w:val="0"/>
        <w:spacing w:after="120" w:line="276" w:lineRule="auto"/>
        <w:rPr>
          <w:rFonts w:cs="Arial"/>
        </w:rPr>
      </w:pPr>
      <w:r w:rsidRPr="00B82A4D">
        <w:rPr>
          <w:rFonts w:cs="Arial"/>
        </w:rPr>
        <w:t xml:space="preserve">(4) der Hilfeplanung </w:t>
      </w:r>
    </w:p>
    <w:p w:rsidR="00B82A4D" w:rsidRPr="00B82A4D" w:rsidRDefault="00B82A4D" w:rsidP="00B82A4D">
      <w:pPr>
        <w:autoSpaceDE w:val="0"/>
        <w:autoSpaceDN w:val="0"/>
        <w:adjustRightInd w:val="0"/>
        <w:spacing w:line="276" w:lineRule="auto"/>
        <w:rPr>
          <w:rFonts w:cs="Arial"/>
        </w:rPr>
      </w:pPr>
      <w:r w:rsidRPr="00B82A4D">
        <w:rPr>
          <w:rFonts w:cs="Arial"/>
        </w:rPr>
        <w:t xml:space="preserve">in einem kohärenten Orientierungsmodell zusammenführt. </w:t>
      </w:r>
    </w:p>
    <w:p w:rsidR="00B82A4D" w:rsidRPr="00B82A4D" w:rsidRDefault="00B82A4D" w:rsidP="00B82A4D">
      <w:pPr>
        <w:autoSpaceDE w:val="0"/>
        <w:autoSpaceDN w:val="0"/>
        <w:adjustRightInd w:val="0"/>
        <w:spacing w:line="276" w:lineRule="auto"/>
        <w:rPr>
          <w:rFonts w:cs="Arial"/>
        </w:rPr>
      </w:pPr>
      <w:r w:rsidRPr="00B82A4D">
        <w:rPr>
          <w:rFonts w:cs="Arial"/>
        </w:rPr>
        <w:t>Neben Wissenschaftlerinnen / Wissenschaftlern wirken im Projekt Fachpersonen aus abkläre</w:t>
      </w:r>
      <w:r w:rsidRPr="00B82A4D">
        <w:rPr>
          <w:rFonts w:cs="Arial"/>
        </w:rPr>
        <w:t>n</w:t>
      </w:r>
      <w:r w:rsidRPr="00B82A4D">
        <w:rPr>
          <w:rFonts w:cs="Arial"/>
        </w:rPr>
        <w:t>den Diensten, Repräsentantinnen / Repräsentanten von Kindes- und Erwachsenenschutzb</w:t>
      </w:r>
      <w:r w:rsidRPr="00B82A4D">
        <w:rPr>
          <w:rFonts w:cs="Arial"/>
        </w:rPr>
        <w:t>e</w:t>
      </w:r>
      <w:r w:rsidRPr="00B82A4D">
        <w:rPr>
          <w:rFonts w:cs="Arial"/>
        </w:rPr>
        <w:t xml:space="preserve">hörden sowie von fachpolitischen Vereinigungen mit. </w:t>
      </w:r>
    </w:p>
    <w:p w:rsidR="00B82A4D" w:rsidRPr="00B82A4D" w:rsidRDefault="00B82A4D" w:rsidP="00B82A4D">
      <w:pPr>
        <w:autoSpaceDE w:val="0"/>
        <w:autoSpaceDN w:val="0"/>
        <w:adjustRightInd w:val="0"/>
        <w:spacing w:line="276" w:lineRule="auto"/>
        <w:rPr>
          <w:rFonts w:cs="Arial"/>
        </w:rPr>
      </w:pPr>
    </w:p>
    <w:p w:rsidR="00CB70D7" w:rsidRDefault="00B82A4D" w:rsidP="00B82A4D">
      <w:pPr>
        <w:autoSpaceDE w:val="0"/>
        <w:autoSpaceDN w:val="0"/>
        <w:adjustRightInd w:val="0"/>
        <w:spacing w:line="276" w:lineRule="auto"/>
        <w:rPr>
          <w:rFonts w:cs="Arial"/>
        </w:rPr>
      </w:pPr>
      <w:r w:rsidRPr="00B82A4D">
        <w:rPr>
          <w:rFonts w:cs="Arial"/>
        </w:rPr>
        <w:t>Der Workshop gibt einen Einblick in die konzeptionellen Grundlagen des Projekts, stellt die Pr</w:t>
      </w:r>
      <w:r w:rsidRPr="00B82A4D">
        <w:rPr>
          <w:rFonts w:cs="Arial"/>
        </w:rPr>
        <w:t>o</w:t>
      </w:r>
      <w:r w:rsidRPr="00B82A4D">
        <w:rPr>
          <w:rFonts w:cs="Arial"/>
        </w:rPr>
        <w:t>jektanlage und die vorliegenden Entwicklungsergebnisse vor und berichtet aus den Erfahrungen in der Zusammenarbeit zwischen Wissenschaft, Behörden und Fachpraxis</w:t>
      </w:r>
    </w:p>
    <w:p w:rsidR="0001795B" w:rsidRDefault="0001795B">
      <w:pPr>
        <w:spacing w:after="200" w:line="276" w:lineRule="auto"/>
        <w:rPr>
          <w:rFonts w:cs="Arial"/>
        </w:rPr>
      </w:pPr>
      <w:r>
        <w:rPr>
          <w:rFonts w:cs="Arial"/>
        </w:rPr>
        <w:br w:type="page"/>
      </w:r>
    </w:p>
    <w:p w:rsidR="0001795B" w:rsidRPr="006531E0" w:rsidRDefault="00ED70E5" w:rsidP="00ED70E5">
      <w:pPr>
        <w:widowControl w:val="0"/>
        <w:tabs>
          <w:tab w:val="left" w:pos="2835"/>
          <w:tab w:val="left" w:pos="5954"/>
        </w:tabs>
        <w:autoSpaceDE w:val="0"/>
        <w:autoSpaceDN w:val="0"/>
        <w:adjustRightInd w:val="0"/>
        <w:spacing w:after="120"/>
        <w:ind w:left="2835" w:right="74"/>
        <w:rPr>
          <w:b/>
        </w:rPr>
      </w:pPr>
      <w:r>
        <w:rPr>
          <w:b/>
          <w:noProof/>
          <w:sz w:val="24"/>
          <w:lang w:eastAsia="de-CH"/>
        </w:rPr>
        <w:lastRenderedPageBreak/>
        <w:drawing>
          <wp:anchor distT="0" distB="0" distL="114300" distR="114300" simplePos="0" relativeHeight="251662336" behindDoc="1" locked="0" layoutInCell="1" allowOverlap="1" wp14:anchorId="58821C5D" wp14:editId="12870D9B">
            <wp:simplePos x="0" y="0"/>
            <wp:positionH relativeFrom="column">
              <wp:posOffset>40640</wp:posOffset>
            </wp:positionH>
            <wp:positionV relativeFrom="paragraph">
              <wp:posOffset>8255</wp:posOffset>
            </wp:positionV>
            <wp:extent cx="1275715" cy="1767205"/>
            <wp:effectExtent l="0" t="0" r="635" b="4445"/>
            <wp:wrapTight wrapText="bothSides">
              <wp:wrapPolygon edited="0">
                <wp:start x="0" y="0"/>
                <wp:lineTo x="0" y="21421"/>
                <wp:lineTo x="21288" y="21421"/>
                <wp:lineTo x="2128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5715" cy="1767205"/>
                    </a:xfrm>
                    <a:prstGeom prst="rect">
                      <a:avLst/>
                    </a:prstGeom>
                    <a:noFill/>
                  </pic:spPr>
                </pic:pic>
              </a:graphicData>
            </a:graphic>
          </wp:anchor>
        </w:drawing>
      </w:r>
      <w:r w:rsidR="007F1A4C">
        <w:rPr>
          <w:b/>
          <w:sz w:val="24"/>
        </w:rPr>
        <w:t>Clarissa Schär, M.A.</w:t>
      </w:r>
    </w:p>
    <w:p w:rsidR="006531E0" w:rsidRDefault="007F1A4C" w:rsidP="007E42CB">
      <w:pPr>
        <w:tabs>
          <w:tab w:val="left" w:pos="2835"/>
        </w:tabs>
        <w:autoSpaceDE w:val="0"/>
        <w:autoSpaceDN w:val="0"/>
        <w:adjustRightInd w:val="0"/>
        <w:spacing w:line="276" w:lineRule="auto"/>
        <w:ind w:left="2835"/>
        <w:rPr>
          <w:rFonts w:cs="Arial"/>
        </w:rPr>
      </w:pPr>
      <w:r>
        <w:rPr>
          <w:rFonts w:cs="Arial"/>
        </w:rPr>
        <w:t>Wissenschaftliche Mitarbeiterin</w:t>
      </w:r>
    </w:p>
    <w:p w:rsidR="006531E0" w:rsidRDefault="007F1A4C" w:rsidP="007E42CB">
      <w:pPr>
        <w:tabs>
          <w:tab w:val="left" w:pos="2835"/>
        </w:tabs>
        <w:autoSpaceDE w:val="0"/>
        <w:autoSpaceDN w:val="0"/>
        <w:adjustRightInd w:val="0"/>
        <w:spacing w:line="276" w:lineRule="auto"/>
        <w:ind w:left="2835"/>
        <w:rPr>
          <w:rFonts w:cs="Arial"/>
        </w:rPr>
      </w:pPr>
      <w:r>
        <w:rPr>
          <w:rFonts w:cs="Arial"/>
        </w:rPr>
        <w:t xml:space="preserve">Institut </w:t>
      </w:r>
      <w:r w:rsidR="006531E0">
        <w:rPr>
          <w:rFonts w:cs="Arial"/>
        </w:rPr>
        <w:t>Kinder- und Jugendhilfe</w:t>
      </w:r>
    </w:p>
    <w:p w:rsidR="006531E0" w:rsidRDefault="006531E0" w:rsidP="007E42CB">
      <w:pPr>
        <w:tabs>
          <w:tab w:val="left" w:pos="2835"/>
        </w:tabs>
        <w:autoSpaceDE w:val="0"/>
        <w:autoSpaceDN w:val="0"/>
        <w:adjustRightInd w:val="0"/>
        <w:spacing w:line="276" w:lineRule="auto"/>
        <w:ind w:left="2835"/>
        <w:rPr>
          <w:rFonts w:cs="Arial"/>
        </w:rPr>
      </w:pPr>
      <w:r>
        <w:rPr>
          <w:rFonts w:cs="Arial"/>
        </w:rPr>
        <w:t>Hochschule für Soziale Arbeit</w:t>
      </w:r>
    </w:p>
    <w:p w:rsidR="006531E0" w:rsidRPr="00B82A4D" w:rsidRDefault="006531E0" w:rsidP="007E42CB">
      <w:pPr>
        <w:tabs>
          <w:tab w:val="left" w:pos="2835"/>
        </w:tabs>
        <w:autoSpaceDE w:val="0"/>
        <w:autoSpaceDN w:val="0"/>
        <w:adjustRightInd w:val="0"/>
        <w:spacing w:line="276" w:lineRule="auto"/>
        <w:ind w:left="2835"/>
        <w:rPr>
          <w:rFonts w:cs="Arial"/>
        </w:rPr>
      </w:pPr>
      <w:r>
        <w:rPr>
          <w:rFonts w:cs="Arial"/>
        </w:rPr>
        <w:t>Fachhochschule Nordwestschweiz (CH)</w:t>
      </w:r>
    </w:p>
    <w:p w:rsidR="0001795B" w:rsidRDefault="0001795B" w:rsidP="007E42CB">
      <w:pPr>
        <w:widowControl w:val="0"/>
        <w:tabs>
          <w:tab w:val="left" w:pos="2835"/>
        </w:tabs>
        <w:autoSpaceDE w:val="0"/>
        <w:autoSpaceDN w:val="0"/>
        <w:adjustRightInd w:val="0"/>
        <w:ind w:left="2835" w:right="3542"/>
      </w:pPr>
    </w:p>
    <w:p w:rsidR="0001795B" w:rsidRDefault="0001795B" w:rsidP="007E42CB">
      <w:pPr>
        <w:widowControl w:val="0"/>
        <w:tabs>
          <w:tab w:val="left" w:pos="2835"/>
        </w:tabs>
        <w:autoSpaceDE w:val="0"/>
        <w:autoSpaceDN w:val="0"/>
        <w:adjustRightInd w:val="0"/>
        <w:ind w:left="2835" w:right="3542"/>
      </w:pPr>
    </w:p>
    <w:p w:rsidR="0001795B" w:rsidRPr="004E537B" w:rsidRDefault="0001795B" w:rsidP="007E42CB">
      <w:pPr>
        <w:widowControl w:val="0"/>
        <w:tabs>
          <w:tab w:val="left" w:pos="2835"/>
        </w:tabs>
        <w:autoSpaceDE w:val="0"/>
        <w:autoSpaceDN w:val="0"/>
        <w:adjustRightInd w:val="0"/>
        <w:ind w:left="2835" w:right="3542"/>
      </w:pPr>
    </w:p>
    <w:p w:rsidR="0001795B" w:rsidRPr="00CB70D7" w:rsidRDefault="0001795B" w:rsidP="007E42CB">
      <w:pPr>
        <w:widowControl w:val="0"/>
        <w:tabs>
          <w:tab w:val="left" w:pos="2835"/>
        </w:tabs>
        <w:autoSpaceDE w:val="0"/>
        <w:autoSpaceDN w:val="0"/>
        <w:adjustRightInd w:val="0"/>
        <w:ind w:left="2835" w:right="72"/>
      </w:pPr>
    </w:p>
    <w:p w:rsidR="0001795B" w:rsidRDefault="0001795B" w:rsidP="007E42CB">
      <w:pPr>
        <w:tabs>
          <w:tab w:val="left" w:pos="2835"/>
        </w:tabs>
        <w:ind w:left="2835"/>
        <w:rPr>
          <w:rFonts w:ascii="Times New Roman" w:hAnsi="Times New Roman"/>
          <w:bCs/>
        </w:rPr>
      </w:pPr>
    </w:p>
    <w:p w:rsidR="0001795B" w:rsidRDefault="0001795B" w:rsidP="007E42CB">
      <w:pPr>
        <w:tabs>
          <w:tab w:val="left" w:pos="2835"/>
        </w:tabs>
        <w:ind w:left="2835"/>
      </w:pPr>
    </w:p>
    <w:p w:rsidR="0001795B" w:rsidRDefault="0001795B" w:rsidP="007E42CB">
      <w:pPr>
        <w:widowControl w:val="0"/>
        <w:tabs>
          <w:tab w:val="left" w:pos="2835"/>
          <w:tab w:val="left" w:pos="5954"/>
        </w:tabs>
        <w:autoSpaceDE w:val="0"/>
        <w:autoSpaceDN w:val="0"/>
        <w:adjustRightInd w:val="0"/>
        <w:ind w:left="2835" w:right="72"/>
        <w:rPr>
          <w:b/>
          <w:sz w:val="24"/>
        </w:rPr>
      </w:pPr>
      <w:r w:rsidRPr="006531E0">
        <w:rPr>
          <w:sz w:val="24"/>
        </w:rPr>
        <w:tab/>
      </w:r>
    </w:p>
    <w:p w:rsidR="0001795B" w:rsidRDefault="00ED70E5" w:rsidP="007E42CB">
      <w:pPr>
        <w:widowControl w:val="0"/>
        <w:tabs>
          <w:tab w:val="left" w:pos="2835"/>
          <w:tab w:val="left" w:pos="5954"/>
        </w:tabs>
        <w:autoSpaceDE w:val="0"/>
        <w:autoSpaceDN w:val="0"/>
        <w:adjustRightInd w:val="0"/>
        <w:spacing w:after="120"/>
        <w:ind w:left="2835" w:right="74"/>
        <w:rPr>
          <w:rFonts w:cs="Arial"/>
        </w:rPr>
      </w:pPr>
      <w:r w:rsidRPr="006531E0">
        <w:rPr>
          <w:noProof/>
          <w:sz w:val="24"/>
          <w:lang w:eastAsia="de-CH"/>
        </w:rPr>
        <w:drawing>
          <wp:anchor distT="0" distB="0" distL="114300" distR="114300" simplePos="0" relativeHeight="251664384" behindDoc="1" locked="0" layoutInCell="1" allowOverlap="1" wp14:anchorId="639029FE" wp14:editId="2CA7E465">
            <wp:simplePos x="0" y="0"/>
            <wp:positionH relativeFrom="column">
              <wp:posOffset>84455</wp:posOffset>
            </wp:positionH>
            <wp:positionV relativeFrom="paragraph">
              <wp:posOffset>8890</wp:posOffset>
            </wp:positionV>
            <wp:extent cx="1286510" cy="1779905"/>
            <wp:effectExtent l="0" t="0" r="8890" b="0"/>
            <wp:wrapTight wrapText="bothSides">
              <wp:wrapPolygon edited="0">
                <wp:start x="0" y="0"/>
                <wp:lineTo x="0" y="21269"/>
                <wp:lineTo x="21429" y="21269"/>
                <wp:lineTo x="2142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6510" cy="1779905"/>
                    </a:xfrm>
                    <a:prstGeom prst="rect">
                      <a:avLst/>
                    </a:prstGeom>
                    <a:noFill/>
                  </pic:spPr>
                </pic:pic>
              </a:graphicData>
            </a:graphic>
          </wp:anchor>
        </w:drawing>
      </w:r>
      <w:r w:rsidR="006531E0" w:rsidRPr="006531E0">
        <w:rPr>
          <w:b/>
          <w:sz w:val="24"/>
        </w:rPr>
        <w:t>Prof. Dr. Stefan Schnurr</w:t>
      </w:r>
    </w:p>
    <w:p w:rsidR="006531E0" w:rsidRDefault="006531E0" w:rsidP="007E42CB">
      <w:pPr>
        <w:tabs>
          <w:tab w:val="left" w:pos="2835"/>
        </w:tabs>
        <w:autoSpaceDE w:val="0"/>
        <w:autoSpaceDN w:val="0"/>
        <w:adjustRightInd w:val="0"/>
        <w:spacing w:line="276" w:lineRule="auto"/>
        <w:ind w:left="2835"/>
        <w:rPr>
          <w:rFonts w:cs="Arial"/>
        </w:rPr>
      </w:pPr>
      <w:r>
        <w:rPr>
          <w:rFonts w:cs="Arial"/>
        </w:rPr>
        <w:t>Institutsleiter</w:t>
      </w:r>
    </w:p>
    <w:p w:rsidR="006531E0" w:rsidRDefault="006531E0" w:rsidP="007E42CB">
      <w:pPr>
        <w:tabs>
          <w:tab w:val="left" w:pos="2835"/>
        </w:tabs>
        <w:autoSpaceDE w:val="0"/>
        <w:autoSpaceDN w:val="0"/>
        <w:adjustRightInd w:val="0"/>
        <w:spacing w:line="276" w:lineRule="auto"/>
        <w:ind w:left="2835"/>
        <w:rPr>
          <w:rFonts w:cs="Arial"/>
        </w:rPr>
      </w:pPr>
      <w:r>
        <w:rPr>
          <w:rFonts w:cs="Arial"/>
        </w:rPr>
        <w:t>Kinder- und Jugendhilfe</w:t>
      </w:r>
    </w:p>
    <w:p w:rsidR="006531E0" w:rsidRDefault="006531E0" w:rsidP="007E42CB">
      <w:pPr>
        <w:tabs>
          <w:tab w:val="left" w:pos="2835"/>
        </w:tabs>
        <w:autoSpaceDE w:val="0"/>
        <w:autoSpaceDN w:val="0"/>
        <w:adjustRightInd w:val="0"/>
        <w:spacing w:line="276" w:lineRule="auto"/>
        <w:ind w:left="2835"/>
        <w:rPr>
          <w:rFonts w:cs="Arial"/>
        </w:rPr>
      </w:pPr>
      <w:r>
        <w:rPr>
          <w:rFonts w:cs="Arial"/>
        </w:rPr>
        <w:t>Hochschule für Soziale Arbeit</w:t>
      </w:r>
    </w:p>
    <w:p w:rsidR="006531E0" w:rsidRPr="00B82A4D" w:rsidRDefault="006531E0" w:rsidP="007E42CB">
      <w:pPr>
        <w:tabs>
          <w:tab w:val="left" w:pos="2835"/>
        </w:tabs>
        <w:autoSpaceDE w:val="0"/>
        <w:autoSpaceDN w:val="0"/>
        <w:adjustRightInd w:val="0"/>
        <w:spacing w:line="276" w:lineRule="auto"/>
        <w:ind w:left="2835"/>
        <w:rPr>
          <w:rFonts w:cs="Arial"/>
        </w:rPr>
      </w:pPr>
      <w:r>
        <w:rPr>
          <w:rFonts w:cs="Arial"/>
        </w:rPr>
        <w:t>Fachhochschule Nordwestschweiz (CH)</w:t>
      </w:r>
    </w:p>
    <w:sectPr w:rsidR="006531E0" w:rsidRPr="00B82A4D" w:rsidSect="00377142">
      <w:headerReference w:type="first" r:id="rId14"/>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3">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8">
    <w:nsid w:val="6A8662D4"/>
    <w:multiLevelType w:val="multilevel"/>
    <w:tmpl w:val="75384DEA"/>
    <w:numStyleLink w:val="FHNWAufzhlung"/>
  </w:abstractNum>
  <w:abstractNum w:abstractNumId="19">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7D4B92"/>
    <w:multiLevelType w:val="multilevel"/>
    <w:tmpl w:val="75384DEA"/>
    <w:numStyleLink w:val="FHNWAufzhlung"/>
  </w:abstractNum>
  <w:num w:numId="1">
    <w:abstractNumId w:val="4"/>
  </w:num>
  <w:num w:numId="2">
    <w:abstractNumId w:val="16"/>
  </w:num>
  <w:num w:numId="3">
    <w:abstractNumId w:val="19"/>
  </w:num>
  <w:num w:numId="4">
    <w:abstractNumId w:val="3"/>
  </w:num>
  <w:num w:numId="5">
    <w:abstractNumId w:val="22"/>
  </w:num>
  <w:num w:numId="6">
    <w:abstractNumId w:val="5"/>
  </w:num>
  <w:num w:numId="7">
    <w:abstractNumId w:val="16"/>
  </w:num>
  <w:num w:numId="8">
    <w:abstractNumId w:val="1"/>
  </w:num>
  <w:num w:numId="9">
    <w:abstractNumId w:val="2"/>
  </w:num>
  <w:num w:numId="10">
    <w:abstractNumId w:val="15"/>
  </w:num>
  <w:num w:numId="11">
    <w:abstractNumId w:val="10"/>
  </w:num>
  <w:num w:numId="12">
    <w:abstractNumId w:val="11"/>
  </w:num>
  <w:num w:numId="13">
    <w:abstractNumId w:val="6"/>
  </w:num>
  <w:num w:numId="14">
    <w:abstractNumId w:val="14"/>
  </w:num>
  <w:num w:numId="15">
    <w:abstractNumId w:val="17"/>
  </w:num>
  <w:num w:numId="16">
    <w:abstractNumId w:val="0"/>
  </w:num>
  <w:num w:numId="17">
    <w:abstractNumId w:val="20"/>
  </w:num>
  <w:num w:numId="18">
    <w:abstractNumId w:val="2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8"/>
  </w:num>
  <w:num w:numId="20">
    <w:abstractNumId w:val="13"/>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9"/>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45BE65-EBA7-4386-BBD2-18BCDB2A084C}"/>
    <w:docVar w:name="dgnword-eventsink" w:val="91707808"/>
  </w:docVars>
  <w:rsids>
    <w:rsidRoot w:val="00964911"/>
    <w:rsid w:val="0001795B"/>
    <w:rsid w:val="000210DE"/>
    <w:rsid w:val="0005534A"/>
    <w:rsid w:val="00071507"/>
    <w:rsid w:val="000809C2"/>
    <w:rsid w:val="000976AF"/>
    <w:rsid w:val="000E5CC1"/>
    <w:rsid w:val="000F7F62"/>
    <w:rsid w:val="00106EAE"/>
    <w:rsid w:val="001149D2"/>
    <w:rsid w:val="00156BA9"/>
    <w:rsid w:val="00180D32"/>
    <w:rsid w:val="001D1088"/>
    <w:rsid w:val="001E544A"/>
    <w:rsid w:val="00203DDE"/>
    <w:rsid w:val="00213675"/>
    <w:rsid w:val="002259EE"/>
    <w:rsid w:val="00237809"/>
    <w:rsid w:val="00287478"/>
    <w:rsid w:val="0029605A"/>
    <w:rsid w:val="002A27DF"/>
    <w:rsid w:val="002B467D"/>
    <w:rsid w:val="002E6705"/>
    <w:rsid w:val="002E7766"/>
    <w:rsid w:val="003428E7"/>
    <w:rsid w:val="00351B21"/>
    <w:rsid w:val="00375A78"/>
    <w:rsid w:val="00377142"/>
    <w:rsid w:val="003B7629"/>
    <w:rsid w:val="003D4F97"/>
    <w:rsid w:val="00400861"/>
    <w:rsid w:val="00405B61"/>
    <w:rsid w:val="0040684A"/>
    <w:rsid w:val="00420F57"/>
    <w:rsid w:val="0042271A"/>
    <w:rsid w:val="00425687"/>
    <w:rsid w:val="00437505"/>
    <w:rsid w:val="00460C63"/>
    <w:rsid w:val="00473483"/>
    <w:rsid w:val="004B558A"/>
    <w:rsid w:val="004C5569"/>
    <w:rsid w:val="004C6864"/>
    <w:rsid w:val="004E537B"/>
    <w:rsid w:val="004E74B4"/>
    <w:rsid w:val="004F505A"/>
    <w:rsid w:val="00572350"/>
    <w:rsid w:val="0057705E"/>
    <w:rsid w:val="00595194"/>
    <w:rsid w:val="005A5E71"/>
    <w:rsid w:val="005D06CF"/>
    <w:rsid w:val="005E2EF6"/>
    <w:rsid w:val="00607F7C"/>
    <w:rsid w:val="00633A4F"/>
    <w:rsid w:val="006342C6"/>
    <w:rsid w:val="006531E0"/>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E42CB"/>
    <w:rsid w:val="007F05CD"/>
    <w:rsid w:val="007F1A4C"/>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D7674"/>
    <w:rsid w:val="00B22B80"/>
    <w:rsid w:val="00B253C0"/>
    <w:rsid w:val="00B33577"/>
    <w:rsid w:val="00B534BF"/>
    <w:rsid w:val="00B82A4D"/>
    <w:rsid w:val="00BC30B7"/>
    <w:rsid w:val="00BC435E"/>
    <w:rsid w:val="00BE2EDC"/>
    <w:rsid w:val="00BF091D"/>
    <w:rsid w:val="00C00E02"/>
    <w:rsid w:val="00C26422"/>
    <w:rsid w:val="00C46B98"/>
    <w:rsid w:val="00C50216"/>
    <w:rsid w:val="00C536C2"/>
    <w:rsid w:val="00C55850"/>
    <w:rsid w:val="00C776E8"/>
    <w:rsid w:val="00C86E2E"/>
    <w:rsid w:val="00CA50DE"/>
    <w:rsid w:val="00CB70D7"/>
    <w:rsid w:val="00CC78CA"/>
    <w:rsid w:val="00CC7BF8"/>
    <w:rsid w:val="00CE2B5E"/>
    <w:rsid w:val="00D25C00"/>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D70E5"/>
    <w:rsid w:val="00EF37AE"/>
    <w:rsid w:val="00F140C5"/>
    <w:rsid w:val="00F2238D"/>
    <w:rsid w:val="00F369AA"/>
    <w:rsid w:val="00F56BE1"/>
    <w:rsid w:val="00F73D6D"/>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10457-A391-46BA-9FA9-C5A6FD00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2014-07-09T05:19:00Z</dcterms:created>
  <dcterms:modified xsi:type="dcterms:W3CDTF">2014-09-22T08:06:00Z</dcterms:modified>
</cp:coreProperties>
</file>